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spacing w:line="360" w:lineRule="auto"/>
        <w:jc w:val="center"/>
        <w:rPr>
          <w:rFonts w:ascii="楷体" w:hAnsi="楷体" w:eastAsia="楷体"/>
          <w:b/>
          <w:spacing w:val="-6"/>
          <w:sz w:val="44"/>
          <w:szCs w:val="44"/>
        </w:rPr>
      </w:pPr>
    </w:p>
    <w:p>
      <w:pPr>
        <w:spacing w:line="360" w:lineRule="auto"/>
        <w:jc w:val="center"/>
        <w:rPr>
          <w:rFonts w:ascii="楷体" w:hAnsi="楷体" w:eastAsia="楷体"/>
          <w:b/>
          <w:spacing w:val="-6"/>
          <w:sz w:val="48"/>
          <w:szCs w:val="48"/>
        </w:rPr>
      </w:pPr>
      <w:r>
        <w:rPr>
          <w:rFonts w:hint="eastAsia" w:ascii="楷体" w:hAnsi="楷体" w:eastAsia="楷体"/>
          <w:b/>
          <w:spacing w:val="-6"/>
          <w:sz w:val="48"/>
          <w:szCs w:val="48"/>
        </w:rPr>
        <w:t>浙江求是招标代理有限公司关于</w:t>
      </w:r>
    </w:p>
    <w:p>
      <w:pPr>
        <w:spacing w:line="360" w:lineRule="auto"/>
        <w:jc w:val="center"/>
        <w:rPr>
          <w:rFonts w:ascii="楷体" w:hAnsi="楷体" w:eastAsia="楷体"/>
          <w:b/>
          <w:spacing w:val="-6"/>
          <w:sz w:val="48"/>
          <w:szCs w:val="48"/>
        </w:rPr>
      </w:pPr>
      <w:r>
        <w:rPr>
          <w:rFonts w:hint="eastAsia" w:ascii="楷体" w:hAnsi="楷体" w:eastAsia="楷体"/>
          <w:b/>
          <w:spacing w:val="-6"/>
          <w:sz w:val="48"/>
          <w:szCs w:val="48"/>
        </w:rPr>
        <w:t>中国林业科学研究院亚热带林业研究所</w:t>
      </w:r>
    </w:p>
    <w:p>
      <w:pPr>
        <w:spacing w:line="360" w:lineRule="auto"/>
        <w:jc w:val="center"/>
        <w:rPr>
          <w:rFonts w:ascii="楷体" w:hAnsi="楷体" w:eastAsia="楷体"/>
          <w:b/>
          <w:spacing w:val="-6"/>
          <w:sz w:val="48"/>
          <w:szCs w:val="48"/>
        </w:rPr>
      </w:pPr>
      <w:r>
        <w:rPr>
          <w:rFonts w:hint="eastAsia" w:ascii="楷体" w:hAnsi="楷体" w:eastAsia="楷体"/>
          <w:b/>
          <w:spacing w:val="-6"/>
          <w:sz w:val="48"/>
          <w:szCs w:val="48"/>
        </w:rPr>
        <w:t>安全保洁物业服务</w:t>
      </w:r>
    </w:p>
    <w:p>
      <w:pPr>
        <w:spacing w:line="360" w:lineRule="auto"/>
        <w:jc w:val="center"/>
        <w:rPr>
          <w:rFonts w:ascii="楷体" w:hAnsi="楷体" w:eastAsia="楷体"/>
          <w:b/>
          <w:spacing w:val="-6"/>
          <w:sz w:val="48"/>
          <w:szCs w:val="48"/>
        </w:rPr>
      </w:pPr>
    </w:p>
    <w:p>
      <w:pPr>
        <w:spacing w:line="360" w:lineRule="auto"/>
        <w:jc w:val="center"/>
        <w:rPr>
          <w:rFonts w:ascii="楷体" w:hAnsi="楷体" w:eastAsia="楷体"/>
          <w:b/>
          <w:spacing w:val="-6"/>
          <w:sz w:val="48"/>
          <w:szCs w:val="48"/>
        </w:rPr>
      </w:pPr>
    </w:p>
    <w:p>
      <w:pPr>
        <w:spacing w:line="360" w:lineRule="auto"/>
        <w:jc w:val="center"/>
        <w:rPr>
          <w:rFonts w:ascii="楷体" w:hAnsi="楷体" w:eastAsia="楷体"/>
          <w:b/>
          <w:spacing w:val="-6"/>
          <w:sz w:val="72"/>
          <w:szCs w:val="72"/>
        </w:rPr>
      </w:pPr>
      <w:r>
        <w:rPr>
          <w:rFonts w:hint="eastAsia" w:ascii="楷体" w:hAnsi="楷体" w:eastAsia="楷体"/>
          <w:b/>
          <w:spacing w:val="-6"/>
          <w:sz w:val="72"/>
          <w:szCs w:val="72"/>
        </w:rPr>
        <w:t>招 标 文 件</w:t>
      </w:r>
    </w:p>
    <w:p>
      <w:pPr>
        <w:spacing w:line="360" w:lineRule="auto"/>
        <w:rPr>
          <w:rFonts w:ascii="楷体" w:hAnsi="楷体" w:eastAsia="楷体"/>
          <w:b/>
          <w:spacing w:val="-6"/>
          <w:sz w:val="30"/>
          <w:szCs w:val="30"/>
        </w:rPr>
      </w:pPr>
    </w:p>
    <w:p>
      <w:pPr>
        <w:spacing w:line="360" w:lineRule="auto"/>
        <w:rPr>
          <w:rFonts w:ascii="楷体" w:hAnsi="楷体" w:eastAsia="楷体"/>
          <w:b/>
          <w:spacing w:val="-6"/>
          <w:sz w:val="30"/>
          <w:szCs w:val="30"/>
        </w:rPr>
      </w:pPr>
    </w:p>
    <w:p>
      <w:pPr>
        <w:spacing w:line="360" w:lineRule="auto"/>
        <w:rPr>
          <w:rFonts w:ascii="楷体" w:hAnsi="楷体" w:eastAsia="楷体"/>
          <w:b/>
          <w:spacing w:val="-6"/>
          <w:sz w:val="30"/>
          <w:szCs w:val="30"/>
        </w:rPr>
      </w:pPr>
      <w:r>
        <w:rPr>
          <w:rFonts w:hint="eastAsia" w:ascii="楷体" w:hAnsi="楷体" w:eastAsia="楷体"/>
          <w:b/>
          <w:spacing w:val="-6"/>
          <w:sz w:val="30"/>
          <w:szCs w:val="30"/>
        </w:rPr>
        <w:t>采 购 人：中国林业科学研究院亚热带林业研究所</w:t>
      </w:r>
    </w:p>
    <w:p>
      <w:pPr>
        <w:spacing w:line="360" w:lineRule="auto"/>
        <w:rPr>
          <w:rFonts w:ascii="楷体" w:hAnsi="楷体" w:eastAsia="楷体"/>
          <w:b/>
          <w:spacing w:val="-6"/>
          <w:sz w:val="30"/>
          <w:szCs w:val="30"/>
        </w:rPr>
      </w:pPr>
      <w:r>
        <w:rPr>
          <w:rFonts w:hint="eastAsia" w:ascii="楷体" w:hAnsi="楷体" w:eastAsia="楷体"/>
          <w:b/>
          <w:spacing w:val="-6"/>
          <w:sz w:val="30"/>
          <w:szCs w:val="30"/>
        </w:rPr>
        <w:t>项目名称：安全保洁物业服务</w:t>
      </w:r>
    </w:p>
    <w:p>
      <w:pPr>
        <w:spacing w:line="360" w:lineRule="auto"/>
        <w:rPr>
          <w:rFonts w:hint="eastAsia" w:ascii="楷体" w:hAnsi="楷体" w:eastAsia="楷体"/>
          <w:b/>
          <w:spacing w:val="-6"/>
          <w:sz w:val="30"/>
          <w:szCs w:val="30"/>
          <w:lang w:eastAsia="zh-CN"/>
        </w:rPr>
      </w:pPr>
      <w:r>
        <w:rPr>
          <w:rFonts w:hint="eastAsia" w:ascii="楷体" w:hAnsi="楷体" w:eastAsia="楷体"/>
          <w:b/>
          <w:spacing w:val="-6"/>
          <w:sz w:val="30"/>
          <w:szCs w:val="30"/>
        </w:rPr>
        <w:t>项目编号：</w:t>
      </w:r>
      <w:r>
        <w:rPr>
          <w:rFonts w:hint="eastAsia" w:ascii="楷体" w:hAnsi="楷体" w:eastAsia="楷体"/>
          <w:b/>
          <w:spacing w:val="-6"/>
          <w:sz w:val="30"/>
          <w:szCs w:val="30"/>
          <w:lang w:eastAsia="zh-CN"/>
        </w:rPr>
        <w:t>QSZB-Z(F)-B24035(GK)</w:t>
      </w:r>
    </w:p>
    <w:p>
      <w:pPr>
        <w:spacing w:line="360" w:lineRule="auto"/>
        <w:rPr>
          <w:rFonts w:ascii="楷体" w:hAnsi="楷体" w:eastAsia="楷体"/>
          <w:b/>
          <w:spacing w:val="-6"/>
          <w:sz w:val="30"/>
          <w:szCs w:val="30"/>
        </w:rPr>
      </w:pPr>
      <w:r>
        <w:rPr>
          <w:rFonts w:hint="eastAsia" w:ascii="楷体" w:hAnsi="楷体" w:eastAsia="楷体"/>
          <w:b/>
          <w:spacing w:val="-6"/>
          <w:sz w:val="30"/>
          <w:szCs w:val="30"/>
        </w:rPr>
        <w:t>采购代理机构：浙江求是招标代理有限公司</w:t>
      </w:r>
    </w:p>
    <w:p>
      <w:pPr>
        <w:widowControl/>
        <w:jc w:val="left"/>
        <w:rPr>
          <w:rFonts w:ascii="楷体" w:hAnsi="楷体" w:eastAsia="楷体"/>
          <w:b/>
          <w:spacing w:val="-6"/>
          <w:sz w:val="30"/>
          <w:szCs w:val="30"/>
        </w:rPr>
      </w:pPr>
      <w:r>
        <w:rPr>
          <w:rFonts w:ascii="楷体" w:hAnsi="楷体" w:eastAsia="楷体"/>
          <w:b/>
          <w:spacing w:val="-6"/>
          <w:sz w:val="30"/>
          <w:szCs w:val="30"/>
        </w:rPr>
        <w:br w:type="page"/>
      </w:r>
    </w:p>
    <w:p>
      <w:pPr>
        <w:pStyle w:val="15"/>
        <w:spacing w:beforeLines="0" w:afterLines="0" w:line="288" w:lineRule="auto"/>
        <w:rPr>
          <w:rFonts w:ascii="楷体" w:hAnsi="楷体" w:eastAsia="楷体"/>
          <w:b/>
          <w:sz w:val="30"/>
          <w:szCs w:val="30"/>
        </w:rPr>
      </w:pPr>
    </w:p>
    <w:p>
      <w:pPr>
        <w:pStyle w:val="15"/>
        <w:spacing w:beforeLines="0" w:afterLines="0" w:line="288" w:lineRule="auto"/>
        <w:jc w:val="center"/>
        <w:outlineLvl w:val="0"/>
        <w:rPr>
          <w:rFonts w:ascii="楷体" w:hAnsi="楷体" w:eastAsia="楷体"/>
          <w:b/>
          <w:sz w:val="30"/>
          <w:szCs w:val="30"/>
        </w:rPr>
      </w:pPr>
      <w:r>
        <w:rPr>
          <w:rFonts w:ascii="楷体" w:hAnsi="楷体" w:eastAsia="楷体"/>
          <w:b/>
          <w:sz w:val="30"/>
          <w:szCs w:val="30"/>
        </w:rPr>
        <w:t>目录</w:t>
      </w:r>
    </w:p>
    <w:p>
      <w:pPr>
        <w:pStyle w:val="15"/>
        <w:spacing w:beforeLines="0" w:afterLines="0" w:line="288" w:lineRule="auto"/>
        <w:rPr>
          <w:rFonts w:ascii="楷体" w:hAnsi="楷体" w:eastAsia="楷体"/>
          <w:b/>
          <w:sz w:val="30"/>
          <w:szCs w:val="30"/>
        </w:rPr>
      </w:pPr>
    </w:p>
    <w:p>
      <w:pPr>
        <w:tabs>
          <w:tab w:val="left" w:pos="1440"/>
        </w:tabs>
        <w:spacing w:beforeLines="50" w:line="288" w:lineRule="auto"/>
        <w:ind w:left="284"/>
        <w:rPr>
          <w:rFonts w:ascii="楷体" w:hAnsi="楷体" w:eastAsia="楷体"/>
          <w:b/>
          <w:spacing w:val="-6"/>
          <w:sz w:val="30"/>
          <w:szCs w:val="30"/>
        </w:rPr>
      </w:pPr>
      <w:r>
        <w:rPr>
          <w:rFonts w:hint="eastAsia" w:ascii="楷体" w:hAnsi="楷体" w:eastAsia="楷体"/>
          <w:b/>
          <w:spacing w:val="-6"/>
          <w:sz w:val="30"/>
          <w:szCs w:val="30"/>
        </w:rPr>
        <w:t>第一章投标邀请</w:t>
      </w:r>
    </w:p>
    <w:p>
      <w:pPr>
        <w:tabs>
          <w:tab w:val="left" w:pos="1440"/>
        </w:tabs>
        <w:spacing w:beforeLines="50" w:line="288" w:lineRule="auto"/>
        <w:ind w:left="284"/>
        <w:rPr>
          <w:rFonts w:ascii="楷体" w:hAnsi="楷体" w:eastAsia="楷体"/>
          <w:b/>
          <w:spacing w:val="-6"/>
          <w:sz w:val="30"/>
          <w:szCs w:val="30"/>
        </w:rPr>
      </w:pPr>
      <w:r>
        <w:rPr>
          <w:rFonts w:hint="eastAsia" w:ascii="楷体" w:hAnsi="楷体" w:eastAsia="楷体"/>
          <w:b/>
          <w:spacing w:val="-6"/>
          <w:sz w:val="30"/>
          <w:szCs w:val="30"/>
        </w:rPr>
        <w:t>第二章采购需求</w:t>
      </w:r>
    </w:p>
    <w:p>
      <w:pPr>
        <w:tabs>
          <w:tab w:val="left" w:pos="1440"/>
        </w:tabs>
        <w:spacing w:beforeLines="50" w:line="288" w:lineRule="auto"/>
        <w:ind w:left="284"/>
        <w:rPr>
          <w:rFonts w:ascii="楷体" w:hAnsi="楷体" w:eastAsia="楷体"/>
          <w:b/>
          <w:spacing w:val="-6"/>
          <w:sz w:val="30"/>
          <w:szCs w:val="30"/>
        </w:rPr>
      </w:pPr>
      <w:r>
        <w:rPr>
          <w:rFonts w:hint="eastAsia" w:ascii="楷体" w:hAnsi="楷体" w:eastAsia="楷体"/>
          <w:b/>
          <w:spacing w:val="-6"/>
          <w:sz w:val="30"/>
          <w:szCs w:val="30"/>
        </w:rPr>
        <w:t>第三章投标人须知</w:t>
      </w:r>
    </w:p>
    <w:p>
      <w:pPr>
        <w:tabs>
          <w:tab w:val="left" w:pos="1440"/>
        </w:tabs>
        <w:spacing w:beforeLines="50" w:line="288" w:lineRule="auto"/>
        <w:ind w:left="284"/>
        <w:rPr>
          <w:rFonts w:ascii="楷体" w:hAnsi="楷体" w:eastAsia="楷体"/>
          <w:b/>
          <w:spacing w:val="-6"/>
          <w:sz w:val="30"/>
          <w:szCs w:val="30"/>
        </w:rPr>
      </w:pPr>
      <w:r>
        <w:rPr>
          <w:rFonts w:hint="eastAsia" w:ascii="楷体" w:hAnsi="楷体" w:eastAsia="楷体"/>
          <w:b/>
          <w:spacing w:val="-6"/>
          <w:sz w:val="30"/>
          <w:szCs w:val="30"/>
        </w:rPr>
        <w:t>第四章评标方法和评标标准</w:t>
      </w:r>
    </w:p>
    <w:p>
      <w:pPr>
        <w:tabs>
          <w:tab w:val="left" w:pos="1440"/>
        </w:tabs>
        <w:spacing w:beforeLines="50" w:line="288" w:lineRule="auto"/>
        <w:ind w:left="284"/>
        <w:rPr>
          <w:rFonts w:ascii="楷体" w:hAnsi="楷体" w:eastAsia="楷体"/>
          <w:b/>
          <w:spacing w:val="-6"/>
          <w:sz w:val="30"/>
          <w:szCs w:val="30"/>
        </w:rPr>
      </w:pPr>
      <w:r>
        <w:rPr>
          <w:rFonts w:hint="eastAsia" w:ascii="楷体" w:hAnsi="楷体" w:eastAsia="楷体"/>
          <w:b/>
          <w:spacing w:val="-6"/>
          <w:sz w:val="30"/>
          <w:szCs w:val="30"/>
        </w:rPr>
        <w:t>第五章拟签订的合同文本</w:t>
      </w:r>
    </w:p>
    <w:p>
      <w:pPr>
        <w:tabs>
          <w:tab w:val="left" w:pos="1440"/>
        </w:tabs>
        <w:spacing w:beforeLines="50" w:line="288" w:lineRule="auto"/>
        <w:ind w:left="284"/>
        <w:rPr>
          <w:rFonts w:ascii="楷体" w:hAnsi="楷体" w:eastAsia="楷体"/>
          <w:b/>
          <w:spacing w:val="-6"/>
          <w:sz w:val="30"/>
          <w:szCs w:val="30"/>
        </w:rPr>
      </w:pPr>
      <w:r>
        <w:rPr>
          <w:rFonts w:hint="eastAsia" w:ascii="楷体" w:hAnsi="楷体" w:eastAsia="楷体"/>
          <w:b/>
          <w:spacing w:val="-6"/>
          <w:sz w:val="30"/>
          <w:szCs w:val="30"/>
        </w:rPr>
        <w:t>第六章投标文件格式</w:t>
      </w:r>
    </w:p>
    <w:p>
      <w:pPr>
        <w:pStyle w:val="15"/>
        <w:spacing w:beforeLines="0" w:afterLines="0" w:line="288" w:lineRule="auto"/>
        <w:jc w:val="left"/>
        <w:rPr>
          <w:rFonts w:hAnsi="宋体"/>
          <w:sz w:val="21"/>
          <w:szCs w:val="21"/>
        </w:rPr>
      </w:pPr>
    </w:p>
    <w:p>
      <w:pPr>
        <w:pStyle w:val="15"/>
        <w:spacing w:beforeLines="0" w:afterLines="0" w:line="288" w:lineRule="auto"/>
        <w:jc w:val="left"/>
        <w:outlineLvl w:val="0"/>
        <w:rPr>
          <w:rFonts w:hAnsi="宋体"/>
          <w:sz w:val="21"/>
          <w:szCs w:val="21"/>
        </w:rPr>
        <w:sectPr>
          <w:headerReference r:id="rId3" w:type="default"/>
          <w:footerReference r:id="rId4" w:type="default"/>
          <w:pgSz w:w="11906" w:h="16838"/>
          <w:pgMar w:top="1247" w:right="1247" w:bottom="1247" w:left="1247" w:header="35" w:footer="782" w:gutter="0"/>
          <w:cols w:space="720" w:num="1"/>
          <w:docGrid w:linePitch="381" w:charSpace="0"/>
        </w:sectPr>
      </w:pPr>
    </w:p>
    <w:p>
      <w:pPr>
        <w:pStyle w:val="15"/>
        <w:spacing w:beforeLines="0" w:afterLines="0" w:line="288" w:lineRule="auto"/>
        <w:jc w:val="center"/>
        <w:outlineLvl w:val="0"/>
        <w:rPr>
          <w:rFonts w:hAnsi="宋体"/>
          <w:b/>
          <w:spacing w:val="-6"/>
          <w:sz w:val="32"/>
          <w:szCs w:val="32"/>
        </w:rPr>
      </w:pPr>
      <w:r>
        <w:rPr>
          <w:rFonts w:hAnsi="宋体"/>
          <w:b/>
          <w:spacing w:val="-6"/>
          <w:sz w:val="32"/>
          <w:szCs w:val="32"/>
        </w:rPr>
        <w:t>第一章  投标邀请</w:t>
      </w:r>
    </w:p>
    <w:p>
      <w:pPr>
        <w:pBdr>
          <w:top w:val="single" w:color="auto" w:sz="4" w:space="1"/>
          <w:left w:val="single" w:color="auto" w:sz="4" w:space="4"/>
          <w:bottom w:val="single" w:color="auto" w:sz="4" w:space="1"/>
          <w:right w:val="single" w:color="auto" w:sz="4" w:space="4"/>
        </w:pBdr>
        <w:adjustRightInd w:val="0"/>
        <w:snapToGrid w:val="0"/>
        <w:spacing w:line="288" w:lineRule="auto"/>
        <w:ind w:firstLine="422" w:firstLineChars="200"/>
        <w:rPr>
          <w:rFonts w:ascii="宋体" w:hAnsi="宋体"/>
          <w:b/>
          <w:sz w:val="21"/>
          <w:szCs w:val="21"/>
        </w:rPr>
      </w:pPr>
      <w:r>
        <w:rPr>
          <w:rFonts w:hint="eastAsia" w:ascii="宋体" w:hAnsi="宋体"/>
          <w:b/>
          <w:sz w:val="21"/>
          <w:szCs w:val="21"/>
        </w:rPr>
        <w:t>项目概况</w:t>
      </w:r>
    </w:p>
    <w:p>
      <w:pPr>
        <w:pBdr>
          <w:top w:val="single" w:color="auto" w:sz="4" w:space="1"/>
          <w:left w:val="single" w:color="auto" w:sz="4" w:space="4"/>
          <w:bottom w:val="single" w:color="auto" w:sz="4" w:space="1"/>
          <w:right w:val="single" w:color="auto" w:sz="4" w:space="4"/>
        </w:pBdr>
        <w:adjustRightInd w:val="0"/>
        <w:snapToGrid w:val="0"/>
        <w:spacing w:line="288" w:lineRule="auto"/>
        <w:ind w:firstLine="422" w:firstLineChars="200"/>
        <w:jc w:val="left"/>
        <w:rPr>
          <w:rFonts w:ascii="宋体" w:hAnsi="宋体"/>
          <w:b/>
          <w:sz w:val="21"/>
          <w:szCs w:val="21"/>
        </w:rPr>
      </w:pPr>
      <w:r>
        <w:rPr>
          <w:rFonts w:hint="eastAsia" w:ascii="宋体" w:hAnsi="宋体"/>
          <w:b/>
          <w:sz w:val="21"/>
          <w:szCs w:val="21"/>
          <w:u w:val="single"/>
        </w:rPr>
        <w:t>安全保洁物业服务</w:t>
      </w:r>
      <w:r>
        <w:rPr>
          <w:rFonts w:hint="eastAsia" w:ascii="宋体" w:hAnsi="宋体"/>
          <w:b/>
          <w:sz w:val="21"/>
          <w:szCs w:val="21"/>
        </w:rPr>
        <w:t>招标项目的潜在投标人应在</w:t>
      </w:r>
      <w:r>
        <w:rPr>
          <w:rFonts w:hint="eastAsia" w:ascii="宋体" w:hAnsi="宋体"/>
          <w:b/>
          <w:sz w:val="21"/>
          <w:szCs w:val="21"/>
          <w:u w:val="single"/>
        </w:rPr>
        <w:t xml:space="preserve"> 微信获取（扫描附件二维码或关注“浙江求是招标代理有限公司”企业公众号）或现场获取。（杭州市西湖区玉古路</w:t>
      </w:r>
      <w:r>
        <w:rPr>
          <w:rFonts w:ascii="宋体" w:hAnsi="宋体"/>
          <w:b/>
          <w:sz w:val="21"/>
          <w:szCs w:val="21"/>
          <w:u w:val="single"/>
        </w:rPr>
        <w:t>173</w:t>
      </w:r>
      <w:r>
        <w:rPr>
          <w:rFonts w:hint="eastAsia" w:ascii="宋体" w:hAnsi="宋体"/>
          <w:b/>
          <w:sz w:val="21"/>
          <w:szCs w:val="21"/>
          <w:u w:val="single"/>
        </w:rPr>
        <w:t>号中田大厦</w:t>
      </w:r>
      <w:r>
        <w:rPr>
          <w:rFonts w:ascii="宋体" w:hAnsi="宋体"/>
          <w:b/>
          <w:sz w:val="21"/>
          <w:szCs w:val="21"/>
          <w:u w:val="single"/>
        </w:rPr>
        <w:t>21楼H</w:t>
      </w:r>
      <w:r>
        <w:rPr>
          <w:rFonts w:hint="eastAsia" w:ascii="宋体" w:hAnsi="宋体"/>
          <w:b/>
          <w:sz w:val="21"/>
          <w:szCs w:val="21"/>
          <w:u w:val="single"/>
        </w:rPr>
        <w:t xml:space="preserve">室） </w:t>
      </w:r>
      <w:r>
        <w:rPr>
          <w:rFonts w:hint="eastAsia" w:ascii="宋体" w:hAnsi="宋体"/>
          <w:b/>
          <w:sz w:val="21"/>
          <w:szCs w:val="21"/>
        </w:rPr>
        <w:t>获取招标文件，并于</w:t>
      </w:r>
      <w:r>
        <w:rPr>
          <w:rFonts w:hint="eastAsia" w:ascii="宋体" w:hAnsi="宋体"/>
          <w:b/>
          <w:sz w:val="21"/>
          <w:szCs w:val="21"/>
          <w:u w:val="single"/>
          <w:lang w:eastAsia="zh-CN"/>
        </w:rPr>
        <w:t>2024年1月26日9:00:00</w:t>
      </w:r>
      <w:r>
        <w:rPr>
          <w:rFonts w:hint="eastAsia" w:ascii="宋体" w:hAnsi="宋体"/>
          <w:b/>
          <w:sz w:val="21"/>
          <w:szCs w:val="21"/>
          <w:u w:val="single"/>
        </w:rPr>
        <w:t>（北京时间）</w:t>
      </w:r>
      <w:r>
        <w:rPr>
          <w:rFonts w:hint="eastAsia" w:ascii="宋体" w:hAnsi="宋体"/>
          <w:b/>
          <w:bCs/>
          <w:sz w:val="21"/>
          <w:szCs w:val="21"/>
        </w:rPr>
        <w:t>前递交投标</w:t>
      </w:r>
      <w:r>
        <w:rPr>
          <w:rFonts w:ascii="宋体" w:hAnsi="宋体"/>
          <w:b/>
          <w:bCs/>
          <w:sz w:val="21"/>
          <w:szCs w:val="21"/>
        </w:rPr>
        <w:t>文件</w:t>
      </w:r>
      <w:r>
        <w:rPr>
          <w:rFonts w:hint="eastAsia" w:ascii="宋体" w:hAnsi="宋体"/>
          <w:b/>
          <w:sz w:val="21"/>
          <w:szCs w:val="21"/>
        </w:rPr>
        <w:t>。</w:t>
      </w:r>
    </w:p>
    <w:p>
      <w:pPr>
        <w:adjustRightInd w:val="0"/>
        <w:snapToGrid w:val="0"/>
        <w:spacing w:line="288" w:lineRule="auto"/>
        <w:rPr>
          <w:rFonts w:ascii="宋体" w:hAnsi="宋体" w:cs="宋体"/>
          <w:b/>
          <w:sz w:val="21"/>
          <w:szCs w:val="21"/>
        </w:rPr>
      </w:pPr>
      <w:bookmarkStart w:id="0" w:name="_Toc28359079"/>
      <w:bookmarkStart w:id="1" w:name="_Toc35393790"/>
      <w:bookmarkStart w:id="2" w:name="_Toc35393621"/>
      <w:bookmarkStart w:id="3" w:name="_Toc28359002"/>
      <w:bookmarkStart w:id="4" w:name="_Hlk24379207"/>
      <w:r>
        <w:rPr>
          <w:rFonts w:hint="eastAsia" w:ascii="宋体" w:hAnsi="宋体" w:cs="宋体"/>
          <w:b/>
          <w:sz w:val="21"/>
          <w:szCs w:val="21"/>
        </w:rPr>
        <w:t>一、项目基本情况</w:t>
      </w:r>
      <w:bookmarkEnd w:id="0"/>
      <w:bookmarkEnd w:id="1"/>
      <w:bookmarkEnd w:id="2"/>
      <w:bookmarkEnd w:id="3"/>
    </w:p>
    <w:p>
      <w:pPr>
        <w:adjustRightInd w:val="0"/>
        <w:snapToGrid w:val="0"/>
        <w:spacing w:line="288" w:lineRule="auto"/>
        <w:ind w:firstLine="420" w:firstLineChars="200"/>
        <w:rPr>
          <w:rFonts w:hint="eastAsia" w:ascii="宋体" w:hAnsi="宋体" w:eastAsia="宋体"/>
          <w:sz w:val="21"/>
          <w:szCs w:val="21"/>
          <w:lang w:eastAsia="zh-CN"/>
        </w:rPr>
      </w:pPr>
      <w:r>
        <w:rPr>
          <w:rFonts w:hint="eastAsia" w:ascii="宋体" w:hAnsi="宋体"/>
          <w:sz w:val="21"/>
          <w:szCs w:val="21"/>
        </w:rPr>
        <w:t>1.项目编号：</w:t>
      </w:r>
      <w:r>
        <w:rPr>
          <w:rFonts w:hint="eastAsia" w:ascii="宋体" w:hAnsi="宋体"/>
          <w:sz w:val="21"/>
          <w:szCs w:val="21"/>
          <w:lang w:eastAsia="zh-CN"/>
        </w:rPr>
        <w:t>QSZB-Z(F)-B24035(GK)</w:t>
      </w:r>
    </w:p>
    <w:p>
      <w:pPr>
        <w:adjustRightInd w:val="0"/>
        <w:snapToGrid w:val="0"/>
        <w:spacing w:line="288" w:lineRule="auto"/>
        <w:ind w:firstLine="420" w:firstLineChars="200"/>
        <w:rPr>
          <w:rFonts w:ascii="宋体" w:hAnsi="宋体"/>
          <w:color w:val="auto"/>
          <w:sz w:val="21"/>
          <w:szCs w:val="21"/>
        </w:rPr>
      </w:pPr>
      <w:r>
        <w:rPr>
          <w:rFonts w:ascii="宋体" w:hAnsi="宋体"/>
          <w:color w:val="auto"/>
          <w:sz w:val="21"/>
          <w:szCs w:val="21"/>
        </w:rPr>
        <w:t>2</w:t>
      </w:r>
      <w:r>
        <w:rPr>
          <w:rFonts w:hint="eastAsia" w:ascii="宋体" w:hAnsi="宋体"/>
          <w:color w:val="auto"/>
          <w:sz w:val="21"/>
          <w:szCs w:val="21"/>
        </w:rPr>
        <w:t>.项目名称：安全保洁物业服务</w:t>
      </w:r>
    </w:p>
    <w:bookmarkEnd w:id="4"/>
    <w:p>
      <w:pPr>
        <w:adjustRightInd w:val="0"/>
        <w:snapToGrid w:val="0"/>
        <w:spacing w:line="288" w:lineRule="auto"/>
        <w:ind w:firstLine="420" w:firstLineChars="200"/>
        <w:rPr>
          <w:rFonts w:ascii="宋体" w:hAnsi="宋体"/>
          <w:color w:val="auto"/>
          <w:sz w:val="21"/>
          <w:szCs w:val="21"/>
          <w:u w:val="single"/>
        </w:rPr>
      </w:pPr>
      <w:r>
        <w:rPr>
          <w:rFonts w:ascii="宋体" w:hAnsi="宋体"/>
          <w:color w:val="auto"/>
          <w:sz w:val="21"/>
          <w:szCs w:val="21"/>
        </w:rPr>
        <w:t>3</w:t>
      </w:r>
      <w:r>
        <w:rPr>
          <w:rFonts w:hint="eastAsia" w:ascii="宋体" w:hAnsi="宋体"/>
          <w:color w:val="auto"/>
          <w:sz w:val="21"/>
          <w:szCs w:val="21"/>
        </w:rPr>
        <w:t>.合同履约期限：本次招标服务期限1年，可续签不超过2次。</w:t>
      </w:r>
    </w:p>
    <w:p>
      <w:pPr>
        <w:adjustRightInd w:val="0"/>
        <w:snapToGrid w:val="0"/>
        <w:spacing w:line="288" w:lineRule="auto"/>
        <w:ind w:firstLine="420" w:firstLineChars="200"/>
        <w:rPr>
          <w:rFonts w:ascii="宋体" w:hAnsi="宋体"/>
          <w:bCs/>
          <w:sz w:val="21"/>
          <w:szCs w:val="21"/>
        </w:rPr>
      </w:pPr>
      <w:r>
        <w:rPr>
          <w:rFonts w:ascii="宋体" w:hAnsi="宋体"/>
          <w:bCs/>
          <w:sz w:val="21"/>
          <w:szCs w:val="21"/>
        </w:rPr>
        <w:t>4</w:t>
      </w:r>
      <w:r>
        <w:rPr>
          <w:rFonts w:hint="eastAsia" w:ascii="宋体" w:hAnsi="宋体"/>
          <w:bCs/>
          <w:sz w:val="21"/>
          <w:szCs w:val="21"/>
        </w:rPr>
        <w:t>.本项目不接受联合体投标。</w:t>
      </w:r>
    </w:p>
    <w:p>
      <w:pPr>
        <w:adjustRightInd w:val="0"/>
        <w:snapToGrid w:val="0"/>
        <w:spacing w:line="288" w:lineRule="auto"/>
        <w:ind w:firstLine="420" w:firstLineChars="200"/>
        <w:rPr>
          <w:rFonts w:ascii="宋体" w:hAnsi="宋体"/>
          <w:sz w:val="21"/>
          <w:szCs w:val="21"/>
        </w:rPr>
      </w:pPr>
      <w:r>
        <w:rPr>
          <w:rFonts w:ascii="宋体" w:hAnsi="宋体"/>
          <w:sz w:val="21"/>
          <w:szCs w:val="21"/>
        </w:rPr>
        <w:t>5</w:t>
      </w:r>
      <w:r>
        <w:rPr>
          <w:rFonts w:hint="eastAsia" w:ascii="宋体" w:hAnsi="宋体"/>
          <w:sz w:val="21"/>
          <w:szCs w:val="21"/>
        </w:rPr>
        <w:t>.采购需求：</w:t>
      </w:r>
    </w:p>
    <w:tbl>
      <w:tblPr>
        <w:tblStyle w:val="24"/>
        <w:tblW w:w="4995"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775"/>
        <w:gridCol w:w="2294"/>
        <w:gridCol w:w="816"/>
        <w:gridCol w:w="818"/>
        <w:gridCol w:w="2235"/>
        <w:gridCol w:w="1340"/>
        <w:gridCol w:w="134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19" w:hRule="atLeast"/>
        </w:trPr>
        <w:tc>
          <w:tcPr>
            <w:tcW w:w="403" w:type="pct"/>
            <w:tcBorders>
              <w:tl2br w:val="nil"/>
              <w:tr2bl w:val="nil"/>
            </w:tcBorders>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序号</w:t>
            </w:r>
          </w:p>
        </w:tc>
        <w:tc>
          <w:tcPr>
            <w:tcW w:w="1192" w:type="pct"/>
            <w:tcBorders>
              <w:right w:val="single" w:color="auto" w:sz="4" w:space="0"/>
              <w:tl2br w:val="nil"/>
              <w:tr2bl w:val="nil"/>
            </w:tcBorders>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名称</w:t>
            </w:r>
          </w:p>
        </w:tc>
        <w:tc>
          <w:tcPr>
            <w:tcW w:w="424" w:type="pct"/>
            <w:tcBorders>
              <w:tl2br w:val="nil"/>
              <w:tr2bl w:val="nil"/>
            </w:tcBorders>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数量</w:t>
            </w:r>
          </w:p>
        </w:tc>
        <w:tc>
          <w:tcPr>
            <w:tcW w:w="425" w:type="pct"/>
            <w:tcBorders>
              <w:tl2br w:val="nil"/>
              <w:tr2bl w:val="nil"/>
            </w:tcBorders>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单位</w:t>
            </w:r>
          </w:p>
        </w:tc>
        <w:tc>
          <w:tcPr>
            <w:tcW w:w="1161" w:type="pct"/>
            <w:tcBorders>
              <w:right w:val="single" w:color="auto" w:sz="4" w:space="0"/>
              <w:tl2br w:val="nil"/>
              <w:tr2bl w:val="nil"/>
            </w:tcBorders>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简要技术需求或服务要求</w:t>
            </w:r>
          </w:p>
        </w:tc>
        <w:tc>
          <w:tcPr>
            <w:tcW w:w="696" w:type="pct"/>
            <w:tcBorders>
              <w:tl2br w:val="nil"/>
              <w:tr2bl w:val="nil"/>
            </w:tcBorders>
            <w:vAlign w:val="center"/>
          </w:tcPr>
          <w:p>
            <w:pPr>
              <w:adjustRightInd w:val="0"/>
              <w:snapToGrid w:val="0"/>
              <w:spacing w:line="288" w:lineRule="auto"/>
              <w:jc w:val="center"/>
              <w:rPr>
                <w:rFonts w:ascii="宋体" w:hAnsi="宋体" w:cs="宋体"/>
                <w:b/>
                <w:sz w:val="21"/>
                <w:szCs w:val="21"/>
              </w:rPr>
            </w:pPr>
            <w:r>
              <w:rPr>
                <w:rFonts w:hint="eastAsia" w:ascii="宋体" w:hAnsi="宋体" w:cs="宋体"/>
                <w:b/>
                <w:sz w:val="21"/>
                <w:szCs w:val="21"/>
              </w:rPr>
              <w:t>预算金额</w:t>
            </w:r>
          </w:p>
          <w:p>
            <w:pPr>
              <w:adjustRightInd w:val="0"/>
              <w:snapToGrid w:val="0"/>
              <w:spacing w:line="288" w:lineRule="auto"/>
              <w:jc w:val="center"/>
              <w:rPr>
                <w:rFonts w:ascii="宋体" w:hAnsi="宋体" w:cs="宋体"/>
                <w:b/>
                <w:sz w:val="21"/>
                <w:szCs w:val="21"/>
              </w:rPr>
            </w:pPr>
            <w:r>
              <w:rPr>
                <w:rFonts w:hint="eastAsia" w:ascii="宋体" w:hAnsi="宋体" w:cs="宋体"/>
                <w:b/>
                <w:sz w:val="21"/>
                <w:szCs w:val="21"/>
              </w:rPr>
              <w:t>（万元/年）</w:t>
            </w:r>
          </w:p>
        </w:tc>
        <w:tc>
          <w:tcPr>
            <w:tcW w:w="696" w:type="pct"/>
            <w:tcBorders>
              <w:right w:val="single" w:color="auto" w:sz="4" w:space="0"/>
              <w:tl2br w:val="nil"/>
              <w:tr2bl w:val="nil"/>
            </w:tcBorders>
            <w:vAlign w:val="center"/>
          </w:tcPr>
          <w:p>
            <w:pPr>
              <w:adjustRightInd w:val="0"/>
              <w:snapToGrid w:val="0"/>
              <w:spacing w:line="288" w:lineRule="auto"/>
              <w:jc w:val="center"/>
              <w:rPr>
                <w:rFonts w:ascii="宋体" w:hAnsi="宋体" w:cs="宋体"/>
                <w:b/>
                <w:sz w:val="21"/>
                <w:szCs w:val="21"/>
              </w:rPr>
            </w:pPr>
            <w:r>
              <w:rPr>
                <w:rFonts w:hint="eastAsia" w:ascii="宋体" w:hAnsi="宋体" w:cs="宋体"/>
                <w:b/>
                <w:sz w:val="21"/>
                <w:szCs w:val="21"/>
              </w:rPr>
              <w:t>最高限价</w:t>
            </w:r>
          </w:p>
          <w:p>
            <w:pPr>
              <w:adjustRightInd w:val="0"/>
              <w:snapToGrid w:val="0"/>
              <w:spacing w:line="288" w:lineRule="auto"/>
              <w:jc w:val="center"/>
              <w:rPr>
                <w:rFonts w:ascii="宋体" w:hAnsi="宋体" w:cs="宋体"/>
                <w:b/>
                <w:bCs/>
                <w:sz w:val="21"/>
                <w:szCs w:val="21"/>
              </w:rPr>
            </w:pPr>
            <w:r>
              <w:rPr>
                <w:rFonts w:hint="eastAsia" w:ascii="宋体" w:hAnsi="宋体" w:cs="宋体"/>
                <w:b/>
                <w:sz w:val="21"/>
                <w:szCs w:val="21"/>
              </w:rPr>
              <w:t>（万元/年）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403" w:type="pct"/>
            <w:tcBorders>
              <w:tl2br w:val="nil"/>
              <w:tr2bl w:val="nil"/>
            </w:tcBorders>
            <w:vAlign w:val="center"/>
          </w:tcPr>
          <w:p>
            <w:pPr>
              <w:adjustRightInd w:val="0"/>
              <w:snapToGrid w:val="0"/>
              <w:spacing w:line="288" w:lineRule="auto"/>
              <w:jc w:val="center"/>
              <w:rPr>
                <w:rFonts w:ascii="宋体" w:hAnsi="宋体" w:cs="宋体"/>
                <w:b/>
                <w:sz w:val="21"/>
                <w:szCs w:val="21"/>
              </w:rPr>
            </w:pPr>
            <w:bookmarkStart w:id="5" w:name="_Toc28359003"/>
            <w:bookmarkStart w:id="6" w:name="_Toc35393791"/>
            <w:bookmarkStart w:id="7" w:name="_Toc35393622"/>
            <w:bookmarkStart w:id="8" w:name="_Toc28359080"/>
            <w:r>
              <w:rPr>
                <w:rFonts w:hint="eastAsia" w:ascii="宋体" w:hAnsi="宋体" w:cs="宋体"/>
                <w:b/>
                <w:sz w:val="21"/>
                <w:szCs w:val="21"/>
              </w:rPr>
              <w:t>1</w:t>
            </w:r>
          </w:p>
        </w:tc>
        <w:tc>
          <w:tcPr>
            <w:tcW w:w="1192" w:type="pct"/>
            <w:tcBorders>
              <w:right w:val="single" w:color="auto" w:sz="4" w:space="0"/>
              <w:tl2br w:val="nil"/>
              <w:tr2bl w:val="nil"/>
            </w:tcBorders>
            <w:vAlign w:val="center"/>
          </w:tcPr>
          <w:p>
            <w:pPr>
              <w:adjustRightInd w:val="0"/>
              <w:snapToGrid w:val="0"/>
              <w:spacing w:line="288" w:lineRule="auto"/>
              <w:jc w:val="center"/>
              <w:rPr>
                <w:rFonts w:ascii="宋体" w:hAnsi="宋体" w:cs="宋体"/>
                <w:b/>
                <w:sz w:val="21"/>
                <w:szCs w:val="21"/>
              </w:rPr>
            </w:pPr>
            <w:r>
              <w:rPr>
                <w:rFonts w:hint="eastAsia" w:ascii="宋体" w:hAnsi="宋体" w:cs="宋体"/>
                <w:b/>
                <w:sz w:val="21"/>
                <w:szCs w:val="21"/>
              </w:rPr>
              <w:t>安全保洁物业服务</w:t>
            </w:r>
          </w:p>
        </w:tc>
        <w:tc>
          <w:tcPr>
            <w:tcW w:w="424" w:type="pct"/>
            <w:tcBorders>
              <w:tl2br w:val="nil"/>
              <w:tr2bl w:val="nil"/>
            </w:tcBorders>
            <w:vAlign w:val="center"/>
          </w:tcPr>
          <w:p>
            <w:pPr>
              <w:adjustRightInd w:val="0"/>
              <w:snapToGrid w:val="0"/>
              <w:spacing w:line="288" w:lineRule="auto"/>
              <w:jc w:val="center"/>
              <w:rPr>
                <w:rFonts w:ascii="宋体" w:hAnsi="宋体" w:cs="宋体"/>
                <w:b/>
                <w:sz w:val="21"/>
                <w:szCs w:val="21"/>
              </w:rPr>
            </w:pPr>
            <w:r>
              <w:rPr>
                <w:rFonts w:hint="eastAsia" w:ascii="宋体" w:hAnsi="宋体" w:cs="宋体"/>
                <w:b/>
                <w:sz w:val="21"/>
                <w:szCs w:val="21"/>
              </w:rPr>
              <w:t>1</w:t>
            </w:r>
          </w:p>
        </w:tc>
        <w:tc>
          <w:tcPr>
            <w:tcW w:w="425" w:type="pct"/>
            <w:tcBorders>
              <w:tl2br w:val="nil"/>
              <w:tr2bl w:val="nil"/>
            </w:tcBorders>
            <w:vAlign w:val="center"/>
          </w:tcPr>
          <w:p>
            <w:pPr>
              <w:adjustRightInd w:val="0"/>
              <w:snapToGrid w:val="0"/>
              <w:spacing w:line="288" w:lineRule="auto"/>
              <w:jc w:val="center"/>
              <w:rPr>
                <w:rFonts w:ascii="宋体" w:hAnsi="宋体" w:cs="宋体"/>
                <w:b/>
                <w:sz w:val="21"/>
                <w:szCs w:val="21"/>
              </w:rPr>
            </w:pPr>
            <w:r>
              <w:rPr>
                <w:rFonts w:hint="eastAsia" w:ascii="宋体" w:hAnsi="宋体" w:cs="宋体"/>
                <w:b/>
                <w:sz w:val="21"/>
                <w:szCs w:val="21"/>
              </w:rPr>
              <w:t>项</w:t>
            </w:r>
          </w:p>
        </w:tc>
        <w:tc>
          <w:tcPr>
            <w:tcW w:w="1161" w:type="pct"/>
            <w:tcBorders>
              <w:right w:val="single" w:color="auto" w:sz="4" w:space="0"/>
              <w:tl2br w:val="nil"/>
              <w:tr2bl w:val="nil"/>
            </w:tcBorders>
            <w:vAlign w:val="center"/>
          </w:tcPr>
          <w:p>
            <w:pPr>
              <w:adjustRightInd w:val="0"/>
              <w:snapToGrid w:val="0"/>
              <w:spacing w:line="288" w:lineRule="auto"/>
              <w:jc w:val="center"/>
              <w:rPr>
                <w:rFonts w:ascii="宋体" w:hAnsi="宋体" w:cs="宋体"/>
                <w:b/>
                <w:sz w:val="21"/>
                <w:szCs w:val="21"/>
              </w:rPr>
            </w:pPr>
            <w:r>
              <w:rPr>
                <w:rFonts w:hint="eastAsia" w:ascii="宋体" w:hAnsi="宋体" w:cs="宋体"/>
                <w:b/>
                <w:sz w:val="21"/>
                <w:szCs w:val="21"/>
              </w:rPr>
              <w:t>详见第二章采购需求</w:t>
            </w:r>
          </w:p>
        </w:tc>
        <w:tc>
          <w:tcPr>
            <w:tcW w:w="696" w:type="pct"/>
            <w:tcBorders>
              <w:tl2br w:val="nil"/>
              <w:tr2bl w:val="nil"/>
            </w:tcBorders>
            <w:vAlign w:val="center"/>
          </w:tcPr>
          <w:p>
            <w:pPr>
              <w:adjustRightInd w:val="0"/>
              <w:snapToGrid w:val="0"/>
              <w:spacing w:line="288" w:lineRule="auto"/>
              <w:jc w:val="center"/>
              <w:rPr>
                <w:rFonts w:ascii="宋体" w:hAnsi="宋体" w:cs="宋体"/>
                <w:b/>
                <w:sz w:val="21"/>
                <w:szCs w:val="21"/>
              </w:rPr>
            </w:pPr>
            <w:r>
              <w:rPr>
                <w:rFonts w:hint="eastAsia" w:ascii="宋体" w:hAnsi="宋体" w:cs="宋体"/>
                <w:b/>
                <w:sz w:val="21"/>
                <w:szCs w:val="21"/>
              </w:rPr>
              <w:t>110</w:t>
            </w:r>
          </w:p>
        </w:tc>
        <w:tc>
          <w:tcPr>
            <w:tcW w:w="696" w:type="pct"/>
            <w:tcBorders>
              <w:right w:val="single" w:color="auto" w:sz="4" w:space="0"/>
              <w:tl2br w:val="nil"/>
              <w:tr2bl w:val="nil"/>
            </w:tcBorders>
            <w:vAlign w:val="center"/>
          </w:tcPr>
          <w:p>
            <w:pPr>
              <w:adjustRightInd w:val="0"/>
              <w:snapToGrid w:val="0"/>
              <w:spacing w:line="288" w:lineRule="auto"/>
              <w:jc w:val="center"/>
              <w:rPr>
                <w:rFonts w:ascii="宋体" w:hAnsi="宋体" w:cs="宋体"/>
                <w:b/>
                <w:sz w:val="21"/>
                <w:szCs w:val="21"/>
              </w:rPr>
            </w:pPr>
            <w:r>
              <w:rPr>
                <w:rFonts w:hint="eastAsia" w:ascii="宋体" w:hAnsi="宋体" w:cs="宋体"/>
                <w:b/>
                <w:sz w:val="21"/>
                <w:szCs w:val="21"/>
              </w:rPr>
              <w:t>110</w:t>
            </w:r>
          </w:p>
        </w:tc>
      </w:tr>
    </w:tbl>
    <w:p>
      <w:pPr>
        <w:adjustRightInd w:val="0"/>
        <w:snapToGrid w:val="0"/>
        <w:spacing w:line="288" w:lineRule="auto"/>
        <w:rPr>
          <w:rFonts w:ascii="宋体" w:hAnsi="宋体" w:cs="宋体"/>
          <w:b/>
          <w:sz w:val="21"/>
          <w:szCs w:val="21"/>
        </w:rPr>
      </w:pPr>
      <w:r>
        <w:rPr>
          <w:rFonts w:hint="eastAsia" w:ascii="宋体" w:hAnsi="宋体" w:cs="宋体"/>
          <w:b/>
          <w:sz w:val="21"/>
          <w:szCs w:val="21"/>
        </w:rPr>
        <w:t>二、申请人的资格要求：</w:t>
      </w:r>
      <w:bookmarkEnd w:id="5"/>
      <w:bookmarkEnd w:id="6"/>
      <w:bookmarkEnd w:id="7"/>
      <w:bookmarkEnd w:id="8"/>
    </w:p>
    <w:p>
      <w:pPr>
        <w:adjustRightInd w:val="0"/>
        <w:snapToGrid w:val="0"/>
        <w:spacing w:line="288" w:lineRule="auto"/>
        <w:ind w:right="-84" w:rightChars="-30" w:firstLine="420" w:firstLineChars="200"/>
        <w:rPr>
          <w:rFonts w:ascii="宋体" w:hAnsi="宋体"/>
          <w:bCs/>
          <w:sz w:val="21"/>
          <w:szCs w:val="21"/>
        </w:rPr>
      </w:pPr>
      <w:bookmarkStart w:id="9" w:name="_Toc28359081"/>
      <w:bookmarkStart w:id="10" w:name="_Toc28359004"/>
      <w:r>
        <w:rPr>
          <w:rFonts w:hint="eastAsia" w:ascii="宋体" w:hAnsi="宋体"/>
          <w:bCs/>
          <w:sz w:val="21"/>
          <w:szCs w:val="21"/>
        </w:rPr>
        <w:t>1.满足《中华人民共和国政府采购法》第二十二条规定，未被“信用中国”（</w:t>
      </w:r>
      <w:r>
        <w:rPr>
          <w:rFonts w:ascii="宋体" w:hAnsi="宋体"/>
          <w:bCs/>
          <w:sz w:val="21"/>
          <w:szCs w:val="21"/>
        </w:rPr>
        <w:t>www.creditchina.gov.cn</w:t>
      </w:r>
      <w:r>
        <w:rPr>
          <w:rFonts w:hint="eastAsia" w:ascii="宋体" w:hAnsi="宋体"/>
          <w:bCs/>
          <w:sz w:val="21"/>
          <w:szCs w:val="21"/>
        </w:rPr>
        <w:t>）</w:t>
      </w:r>
      <w:r>
        <w:rPr>
          <w:rFonts w:ascii="宋体" w:hAnsi="宋体"/>
          <w:bCs/>
          <w:sz w:val="21"/>
          <w:szCs w:val="21"/>
        </w:rPr>
        <w:t>、中国政府采购网（www.ccgp.gov.cn）列入失信被执行人、重大税收违法案件当事人名单、政府采购严重违法失信行为记录名单；</w:t>
      </w:r>
    </w:p>
    <w:p>
      <w:pPr>
        <w:adjustRightInd w:val="0"/>
        <w:snapToGrid w:val="0"/>
        <w:spacing w:line="288" w:lineRule="auto"/>
        <w:ind w:firstLine="420" w:firstLineChars="200"/>
        <w:rPr>
          <w:rFonts w:ascii="宋体" w:hAnsi="宋体"/>
          <w:sz w:val="21"/>
          <w:szCs w:val="21"/>
        </w:rPr>
      </w:pPr>
      <w:r>
        <w:rPr>
          <w:rFonts w:hint="eastAsia" w:ascii="宋体" w:hAnsi="宋体"/>
          <w:sz w:val="21"/>
          <w:szCs w:val="21"/>
        </w:rPr>
        <w:t>2.落实政府采购政策需满足的资格要求：本项目整体专门面向中小企业采购。服务由中小企业承接，即提供服务的人员为中小企业依照《中华人民共和国劳动合同法》订立劳动合同的从业人员）。监狱企业、残疾人福利性单位视同小型、微型企业。</w:t>
      </w:r>
    </w:p>
    <w:p>
      <w:pPr>
        <w:adjustRightInd w:val="0"/>
        <w:snapToGrid w:val="0"/>
        <w:spacing w:line="288" w:lineRule="auto"/>
        <w:ind w:firstLine="420" w:firstLineChars="200"/>
        <w:rPr>
          <w:rFonts w:ascii="宋体" w:hAnsi="宋体"/>
          <w:sz w:val="21"/>
          <w:szCs w:val="21"/>
        </w:rPr>
      </w:pPr>
      <w:r>
        <w:rPr>
          <w:rFonts w:hint="eastAsia" w:ascii="宋体" w:hAnsi="宋体"/>
          <w:sz w:val="21"/>
          <w:szCs w:val="21"/>
        </w:rPr>
        <w:t>3.本项目的特定资格要求：无。</w:t>
      </w:r>
    </w:p>
    <w:p>
      <w:pPr>
        <w:adjustRightInd w:val="0"/>
        <w:snapToGrid w:val="0"/>
        <w:spacing w:line="288" w:lineRule="auto"/>
        <w:rPr>
          <w:rFonts w:ascii="宋体" w:hAnsi="宋体" w:cs="宋体"/>
          <w:b/>
          <w:sz w:val="21"/>
          <w:szCs w:val="21"/>
          <w:highlight w:val="none"/>
        </w:rPr>
      </w:pPr>
      <w:bookmarkStart w:id="11" w:name="_Toc35393623"/>
      <w:bookmarkStart w:id="12" w:name="_Toc35393792"/>
      <w:r>
        <w:rPr>
          <w:rFonts w:hint="eastAsia" w:ascii="宋体" w:hAnsi="宋体" w:cs="宋体"/>
          <w:b/>
          <w:sz w:val="21"/>
          <w:szCs w:val="21"/>
        </w:rPr>
        <w:t>三、获取招标文件</w:t>
      </w:r>
      <w:bookmarkEnd w:id="9"/>
      <w:bookmarkEnd w:id="10"/>
      <w:bookmarkEnd w:id="11"/>
      <w:bookmarkEnd w:id="12"/>
    </w:p>
    <w:p>
      <w:pPr>
        <w:adjustRightInd w:val="0"/>
        <w:snapToGrid w:val="0"/>
        <w:spacing w:line="288" w:lineRule="auto"/>
        <w:ind w:firstLine="420" w:firstLineChars="200"/>
        <w:rPr>
          <w:rFonts w:ascii="宋体" w:hAnsi="宋体"/>
          <w:sz w:val="21"/>
          <w:szCs w:val="21"/>
          <w:highlight w:val="none"/>
        </w:rPr>
      </w:pPr>
      <w:bookmarkStart w:id="13" w:name="_Toc28359082"/>
      <w:bookmarkStart w:id="14" w:name="_Toc28359005"/>
      <w:bookmarkStart w:id="15" w:name="_Toc35393624"/>
      <w:bookmarkStart w:id="16" w:name="_Toc35393793"/>
      <w:r>
        <w:rPr>
          <w:rFonts w:hint="eastAsia" w:ascii="宋体" w:hAnsi="宋体"/>
          <w:sz w:val="21"/>
          <w:szCs w:val="21"/>
          <w:highlight w:val="none"/>
        </w:rPr>
        <w:t>1</w:t>
      </w:r>
      <w:r>
        <w:rPr>
          <w:rFonts w:ascii="宋体" w:hAnsi="宋体"/>
          <w:sz w:val="21"/>
          <w:szCs w:val="21"/>
          <w:highlight w:val="none"/>
        </w:rPr>
        <w:t>.</w:t>
      </w:r>
      <w:r>
        <w:rPr>
          <w:rFonts w:hint="eastAsia" w:ascii="宋体" w:hAnsi="宋体"/>
          <w:sz w:val="21"/>
          <w:szCs w:val="21"/>
          <w:highlight w:val="none"/>
        </w:rPr>
        <w:t>时间：202</w:t>
      </w:r>
      <w:r>
        <w:rPr>
          <w:rFonts w:hint="eastAsia" w:ascii="宋体" w:hAnsi="宋体"/>
          <w:sz w:val="21"/>
          <w:szCs w:val="21"/>
          <w:highlight w:val="none"/>
          <w:lang w:val="en-US" w:eastAsia="zh-CN"/>
        </w:rPr>
        <w:t>4</w:t>
      </w:r>
      <w:r>
        <w:rPr>
          <w:rFonts w:hint="eastAsia" w:ascii="宋体" w:hAnsi="宋体"/>
          <w:sz w:val="21"/>
          <w:szCs w:val="21"/>
          <w:highlight w:val="none"/>
        </w:rPr>
        <w:t>年</w:t>
      </w:r>
      <w:r>
        <w:rPr>
          <w:rFonts w:hint="eastAsia" w:ascii="宋体" w:hAnsi="宋体"/>
          <w:sz w:val="21"/>
          <w:szCs w:val="21"/>
          <w:highlight w:val="none"/>
          <w:lang w:val="en-US" w:eastAsia="zh-CN"/>
        </w:rPr>
        <w:t>1</w:t>
      </w:r>
      <w:r>
        <w:rPr>
          <w:rFonts w:hint="eastAsia" w:ascii="宋体" w:hAnsi="宋体"/>
          <w:sz w:val="21"/>
          <w:szCs w:val="21"/>
          <w:highlight w:val="none"/>
        </w:rPr>
        <w:t>月</w:t>
      </w:r>
      <w:r>
        <w:rPr>
          <w:rFonts w:hint="eastAsia" w:ascii="宋体" w:hAnsi="宋体"/>
          <w:sz w:val="21"/>
          <w:szCs w:val="21"/>
          <w:highlight w:val="none"/>
          <w:lang w:val="en-US" w:eastAsia="zh-CN"/>
        </w:rPr>
        <w:t>5</w:t>
      </w:r>
      <w:r>
        <w:rPr>
          <w:rFonts w:hint="eastAsia" w:ascii="宋体" w:hAnsi="宋体"/>
          <w:sz w:val="21"/>
          <w:szCs w:val="21"/>
          <w:highlight w:val="none"/>
        </w:rPr>
        <w:t>日至</w:t>
      </w:r>
      <w:r>
        <w:rPr>
          <w:rFonts w:hint="eastAsia" w:ascii="宋体" w:hAnsi="宋体"/>
          <w:sz w:val="21"/>
          <w:szCs w:val="21"/>
          <w:highlight w:val="none"/>
          <w:lang w:eastAsia="zh-CN"/>
        </w:rPr>
        <w:t>2024年1月26日</w:t>
      </w:r>
      <w:r>
        <w:rPr>
          <w:rFonts w:hint="eastAsia" w:ascii="宋体" w:hAnsi="宋体"/>
          <w:sz w:val="21"/>
          <w:szCs w:val="21"/>
          <w:highlight w:val="none"/>
        </w:rPr>
        <w:t>（北京时间，双休日及法定节假日除外）</w:t>
      </w:r>
    </w:p>
    <w:p>
      <w:pPr>
        <w:adjustRightInd w:val="0"/>
        <w:snapToGrid w:val="0"/>
        <w:spacing w:line="288" w:lineRule="auto"/>
        <w:ind w:firstLine="420" w:firstLineChars="200"/>
        <w:rPr>
          <w:rFonts w:ascii="宋体" w:hAnsi="宋体"/>
          <w:sz w:val="21"/>
          <w:szCs w:val="21"/>
        </w:rPr>
      </w:pPr>
      <w:r>
        <w:rPr>
          <w:rFonts w:hint="eastAsia" w:ascii="宋体" w:hAnsi="宋体"/>
          <w:sz w:val="21"/>
          <w:szCs w:val="21"/>
          <w:highlight w:val="none"/>
        </w:rPr>
        <w:t>上午：8:30-11:30、下午：13:00-17:00。备注：获取招标文件截止时间之后潜在投标人依然可以获取招标文件，如对招标文件有质疑的应在</w:t>
      </w:r>
      <w:r>
        <w:rPr>
          <w:rFonts w:hint="eastAsia" w:ascii="宋体" w:hAnsi="宋体"/>
          <w:sz w:val="21"/>
          <w:szCs w:val="21"/>
        </w:rPr>
        <w:t>规定的质疑期限内提出。</w:t>
      </w:r>
    </w:p>
    <w:p>
      <w:pPr>
        <w:adjustRightInd w:val="0"/>
        <w:snapToGrid w:val="0"/>
        <w:spacing w:line="288" w:lineRule="auto"/>
        <w:ind w:firstLine="420" w:firstLineChars="200"/>
        <w:rPr>
          <w:rFonts w:ascii="宋体" w:hAnsi="宋体"/>
          <w:sz w:val="21"/>
          <w:szCs w:val="21"/>
        </w:rPr>
      </w:pPr>
      <w:r>
        <w:rPr>
          <w:rFonts w:hint="eastAsia" w:ascii="宋体" w:hAnsi="宋体"/>
          <w:sz w:val="21"/>
          <w:szCs w:val="21"/>
        </w:rPr>
        <w:t>2</w:t>
      </w:r>
      <w:r>
        <w:rPr>
          <w:rFonts w:ascii="宋体" w:hAnsi="宋体"/>
          <w:sz w:val="21"/>
          <w:szCs w:val="21"/>
        </w:rPr>
        <w:t>.</w:t>
      </w:r>
      <w:r>
        <w:rPr>
          <w:rFonts w:hint="eastAsia" w:ascii="宋体" w:hAnsi="宋体"/>
          <w:sz w:val="21"/>
          <w:szCs w:val="21"/>
        </w:rPr>
        <w:t>地点：浙江求是招标代理有限公司（杭州市西湖区玉古路173号中田大厦21楼H室）</w:t>
      </w:r>
    </w:p>
    <w:p>
      <w:pPr>
        <w:adjustRightInd w:val="0"/>
        <w:snapToGrid w:val="0"/>
        <w:spacing w:line="288" w:lineRule="auto"/>
        <w:ind w:firstLine="420" w:firstLineChars="200"/>
        <w:rPr>
          <w:rFonts w:ascii="宋体" w:hAnsi="宋体"/>
          <w:sz w:val="21"/>
          <w:szCs w:val="21"/>
        </w:rPr>
      </w:pPr>
      <w:r>
        <w:rPr>
          <w:rFonts w:hint="eastAsia" w:ascii="宋体" w:hAnsi="宋体"/>
          <w:sz w:val="21"/>
          <w:szCs w:val="21"/>
        </w:rPr>
        <w:t>3</w:t>
      </w:r>
      <w:r>
        <w:rPr>
          <w:rFonts w:ascii="宋体" w:hAnsi="宋体"/>
          <w:sz w:val="21"/>
          <w:szCs w:val="21"/>
        </w:rPr>
        <w:t>.</w:t>
      </w:r>
      <w:r>
        <w:rPr>
          <w:rFonts w:hint="eastAsia" w:ascii="宋体" w:hAnsi="宋体"/>
          <w:sz w:val="21"/>
          <w:szCs w:val="21"/>
        </w:rPr>
        <w:t>方式：微信获取（扫描附件二维码或关注“浙江求是招标代理有限公司”企业公众号）或现场获取。</w:t>
      </w:r>
    </w:p>
    <w:p>
      <w:pPr>
        <w:adjustRightInd w:val="0"/>
        <w:snapToGrid w:val="0"/>
        <w:spacing w:line="288" w:lineRule="auto"/>
        <w:ind w:firstLine="420" w:firstLineChars="200"/>
        <w:rPr>
          <w:rFonts w:ascii="宋体" w:hAnsi="宋体"/>
          <w:sz w:val="21"/>
          <w:szCs w:val="21"/>
          <w:u w:val="single"/>
        </w:rPr>
      </w:pPr>
      <w:bookmarkStart w:id="17" w:name="_Hlk45804622"/>
      <w:r>
        <w:rPr>
          <w:rFonts w:hint="eastAsia" w:ascii="宋体" w:hAnsi="宋体"/>
          <w:sz w:val="21"/>
          <w:szCs w:val="21"/>
        </w:rPr>
        <w:t>获取文件联系人：於路莹；联系方式：</w:t>
      </w:r>
      <w:bookmarkStart w:id="18" w:name="_Hlk108679622"/>
      <w:r>
        <w:rPr>
          <w:rFonts w:hint="eastAsia" w:ascii="宋体" w:hAnsi="宋体"/>
          <w:sz w:val="21"/>
          <w:szCs w:val="21"/>
        </w:rPr>
        <w:t>0571-</w:t>
      </w:r>
      <w:r>
        <w:rPr>
          <w:rFonts w:ascii="宋体" w:hAnsi="宋体"/>
          <w:sz w:val="21"/>
          <w:szCs w:val="21"/>
        </w:rPr>
        <w:t>87666112</w:t>
      </w:r>
      <w:bookmarkEnd w:id="18"/>
    </w:p>
    <w:p>
      <w:pPr>
        <w:adjustRightInd w:val="0"/>
        <w:snapToGrid w:val="0"/>
        <w:spacing w:line="288" w:lineRule="auto"/>
        <w:ind w:firstLine="420" w:firstLineChars="200"/>
        <w:rPr>
          <w:rFonts w:ascii="宋体" w:hAnsi="宋体"/>
          <w:sz w:val="21"/>
          <w:szCs w:val="21"/>
          <w:u w:val="single"/>
        </w:rPr>
      </w:pPr>
      <w:r>
        <w:rPr>
          <w:rFonts w:hint="eastAsia" w:ascii="宋体" w:hAnsi="宋体"/>
          <w:sz w:val="21"/>
          <w:szCs w:val="21"/>
          <w:u w:val="single"/>
        </w:rPr>
        <w:t>4</w:t>
      </w:r>
      <w:r>
        <w:rPr>
          <w:rFonts w:ascii="宋体" w:hAnsi="宋体"/>
          <w:sz w:val="21"/>
          <w:szCs w:val="21"/>
          <w:u w:val="single"/>
        </w:rPr>
        <w:t>.</w:t>
      </w:r>
      <w:r>
        <w:rPr>
          <w:rFonts w:hint="eastAsia" w:ascii="宋体" w:hAnsi="宋体"/>
          <w:sz w:val="21"/>
          <w:szCs w:val="21"/>
          <w:u w:val="single"/>
        </w:rPr>
        <w:t>售价</w:t>
      </w:r>
      <w:r>
        <w:rPr>
          <w:rFonts w:ascii="宋体" w:hAnsi="宋体"/>
          <w:sz w:val="21"/>
          <w:szCs w:val="21"/>
          <w:u w:val="single"/>
        </w:rPr>
        <w:t>：</w:t>
      </w:r>
      <w:r>
        <w:rPr>
          <w:rFonts w:hint="eastAsia" w:ascii="宋体" w:hAnsi="宋体"/>
          <w:sz w:val="21"/>
          <w:szCs w:val="21"/>
          <w:u w:val="single"/>
        </w:rPr>
        <w:t>5</w:t>
      </w:r>
      <w:r>
        <w:rPr>
          <w:rFonts w:ascii="宋体" w:hAnsi="宋体"/>
          <w:sz w:val="21"/>
          <w:szCs w:val="21"/>
          <w:u w:val="single"/>
        </w:rPr>
        <w:t>00</w:t>
      </w:r>
      <w:r>
        <w:rPr>
          <w:rFonts w:hint="eastAsia" w:ascii="宋体" w:hAnsi="宋体"/>
          <w:sz w:val="21"/>
          <w:szCs w:val="21"/>
          <w:u w:val="single"/>
        </w:rPr>
        <w:t>元整，售后不退。</w:t>
      </w:r>
    </w:p>
    <w:p>
      <w:pPr>
        <w:adjustRightInd w:val="0"/>
        <w:snapToGrid w:val="0"/>
        <w:spacing w:line="288" w:lineRule="auto"/>
        <w:ind w:firstLine="420" w:firstLineChars="200"/>
        <w:rPr>
          <w:rFonts w:ascii="宋体" w:hAnsi="宋体"/>
          <w:sz w:val="21"/>
          <w:szCs w:val="21"/>
          <w:u w:val="single"/>
        </w:rPr>
      </w:pPr>
      <w:r>
        <w:rPr>
          <w:rFonts w:hint="eastAsia" w:ascii="宋体" w:hAnsi="宋体"/>
          <w:sz w:val="21"/>
          <w:szCs w:val="21"/>
          <w:u w:val="single"/>
        </w:rPr>
        <w:t>收款单位（户名）：浙江求是招标代理有限公司</w:t>
      </w:r>
    </w:p>
    <w:p>
      <w:pPr>
        <w:adjustRightInd w:val="0"/>
        <w:snapToGrid w:val="0"/>
        <w:spacing w:line="288" w:lineRule="auto"/>
        <w:ind w:firstLine="420" w:firstLineChars="200"/>
        <w:rPr>
          <w:rFonts w:ascii="宋体" w:hAnsi="宋体"/>
          <w:sz w:val="21"/>
          <w:szCs w:val="21"/>
          <w:u w:val="single"/>
        </w:rPr>
      </w:pPr>
      <w:r>
        <w:rPr>
          <w:rFonts w:hint="eastAsia" w:ascii="宋体" w:hAnsi="宋体"/>
          <w:sz w:val="21"/>
          <w:szCs w:val="21"/>
          <w:u w:val="single"/>
        </w:rPr>
        <w:t>开户银行：工行浙大支行</w:t>
      </w:r>
    </w:p>
    <w:p>
      <w:pPr>
        <w:adjustRightInd w:val="0"/>
        <w:snapToGrid w:val="0"/>
        <w:spacing w:line="288" w:lineRule="auto"/>
        <w:ind w:firstLine="420" w:firstLineChars="200"/>
        <w:rPr>
          <w:rFonts w:ascii="宋体" w:hAnsi="宋体"/>
          <w:sz w:val="21"/>
          <w:szCs w:val="21"/>
          <w:u w:val="single"/>
        </w:rPr>
      </w:pPr>
      <w:r>
        <w:rPr>
          <w:rFonts w:hint="eastAsia" w:ascii="宋体" w:hAnsi="宋体"/>
          <w:sz w:val="21"/>
          <w:szCs w:val="21"/>
          <w:u w:val="single"/>
        </w:rPr>
        <w:t>银行账号：</w:t>
      </w:r>
      <w:r>
        <w:rPr>
          <w:rFonts w:ascii="宋体" w:hAnsi="宋体"/>
          <w:sz w:val="21"/>
          <w:szCs w:val="21"/>
          <w:u w:val="single"/>
        </w:rPr>
        <w:t>1202024609900033043</w:t>
      </w:r>
    </w:p>
    <w:p>
      <w:pPr>
        <w:adjustRightInd w:val="0"/>
        <w:snapToGrid w:val="0"/>
        <w:spacing w:line="288" w:lineRule="auto"/>
        <w:ind w:firstLine="420" w:firstLineChars="200"/>
        <w:rPr>
          <w:rFonts w:ascii="宋体" w:hAnsi="宋体"/>
          <w:sz w:val="21"/>
          <w:szCs w:val="21"/>
          <w:u w:val="single"/>
        </w:rPr>
      </w:pPr>
      <w:r>
        <w:rPr>
          <w:rFonts w:hint="eastAsia" w:ascii="宋体" w:hAnsi="宋体"/>
          <w:sz w:val="21"/>
          <w:szCs w:val="21"/>
          <w:u w:val="single"/>
        </w:rPr>
        <w:t>财务联系方式：0571-87666113</w:t>
      </w:r>
      <w:bookmarkEnd w:id="17"/>
    </w:p>
    <w:p>
      <w:pPr>
        <w:adjustRightInd w:val="0"/>
        <w:snapToGrid w:val="0"/>
        <w:spacing w:line="288" w:lineRule="auto"/>
        <w:ind w:firstLine="420" w:firstLineChars="200"/>
        <w:rPr>
          <w:rFonts w:ascii="宋体" w:hAnsi="宋体"/>
          <w:sz w:val="21"/>
          <w:szCs w:val="21"/>
          <w:u w:val="single"/>
        </w:rPr>
      </w:pPr>
      <w:r>
        <w:rPr>
          <w:rFonts w:hint="eastAsia" w:ascii="宋体" w:hAnsi="宋体"/>
          <w:sz w:val="21"/>
          <w:szCs w:val="21"/>
          <w:u w:val="single"/>
        </w:rPr>
        <w:t>开票信息请发送邮件至：caiwu@qszb.net，提供：项目名称或编号、开票资料、收件信息并注明专普票。</w:t>
      </w:r>
    </w:p>
    <w:p>
      <w:pPr>
        <w:adjustRightInd w:val="0"/>
        <w:snapToGrid w:val="0"/>
        <w:spacing w:line="288" w:lineRule="auto"/>
        <w:ind w:firstLine="420" w:firstLineChars="200"/>
        <w:rPr>
          <w:rFonts w:ascii="宋体" w:hAnsi="宋体"/>
          <w:sz w:val="21"/>
          <w:szCs w:val="21"/>
          <w:u w:val="single"/>
        </w:rPr>
      </w:pPr>
      <w:r>
        <w:rPr>
          <w:rFonts w:hint="eastAsia" w:ascii="宋体" w:hAnsi="宋体"/>
          <w:sz w:val="21"/>
          <w:szCs w:val="21"/>
        </w:rPr>
        <w:t>5.投标人未按照本公告规定的方式获取招标文件的，投标文件将被拒绝。</w:t>
      </w:r>
    </w:p>
    <w:p>
      <w:pPr>
        <w:adjustRightInd w:val="0"/>
        <w:snapToGrid w:val="0"/>
        <w:spacing w:line="288" w:lineRule="auto"/>
        <w:rPr>
          <w:rFonts w:ascii="宋体" w:hAnsi="宋体" w:cs="宋体"/>
          <w:b/>
          <w:sz w:val="21"/>
          <w:szCs w:val="21"/>
        </w:rPr>
      </w:pPr>
      <w:r>
        <w:rPr>
          <w:rFonts w:hint="eastAsia" w:ascii="宋体" w:hAnsi="宋体" w:cs="宋体"/>
          <w:b/>
          <w:sz w:val="21"/>
          <w:szCs w:val="21"/>
        </w:rPr>
        <w:t>四、投标保证金：</w:t>
      </w:r>
    </w:p>
    <w:p>
      <w:pPr>
        <w:spacing w:line="288" w:lineRule="auto"/>
        <w:ind w:firstLine="396" w:firstLineChars="200"/>
        <w:rPr>
          <w:rFonts w:ascii="宋体" w:hAnsi="宋体" w:cs="宋体"/>
          <w:spacing w:val="-6"/>
          <w:sz w:val="21"/>
          <w:szCs w:val="21"/>
        </w:rPr>
      </w:pPr>
      <w:r>
        <w:rPr>
          <w:rFonts w:hint="eastAsia" w:ascii="宋体" w:hAnsi="宋体" w:cs="宋体"/>
          <w:spacing w:val="-6"/>
          <w:sz w:val="21"/>
          <w:szCs w:val="21"/>
        </w:rPr>
        <w:t>投标保证金（人民币）：20000元；</w:t>
      </w:r>
    </w:p>
    <w:p>
      <w:pPr>
        <w:spacing w:line="288" w:lineRule="auto"/>
        <w:ind w:firstLine="396" w:firstLineChars="200"/>
        <w:rPr>
          <w:rFonts w:ascii="宋体" w:hAnsi="宋体" w:cs="宋体"/>
          <w:spacing w:val="-6"/>
          <w:sz w:val="21"/>
          <w:szCs w:val="21"/>
        </w:rPr>
      </w:pPr>
      <w:r>
        <w:rPr>
          <w:rFonts w:hint="eastAsia" w:ascii="宋体" w:hAnsi="宋体" w:cs="宋体"/>
          <w:spacing w:val="-6"/>
          <w:sz w:val="21"/>
          <w:szCs w:val="21"/>
        </w:rPr>
        <w:t>供应商应于</w:t>
      </w:r>
      <w:r>
        <w:rPr>
          <w:rFonts w:hint="eastAsia" w:ascii="宋体" w:hAnsi="宋体" w:cs="宋体"/>
          <w:bCs/>
          <w:sz w:val="21"/>
          <w:szCs w:val="21"/>
          <w:lang w:eastAsia="zh-CN"/>
        </w:rPr>
        <w:t>2024年1月26日9:00:00</w:t>
      </w:r>
      <w:r>
        <w:rPr>
          <w:rFonts w:hint="eastAsia" w:ascii="宋体" w:hAnsi="宋体" w:cs="宋体"/>
          <w:spacing w:val="-6"/>
          <w:sz w:val="21"/>
          <w:szCs w:val="21"/>
        </w:rPr>
        <w:t>前在浙江求是招标代理有限公司交纳并到帐（双休日及法定节假日除外）。</w:t>
      </w:r>
    </w:p>
    <w:p>
      <w:pPr>
        <w:spacing w:line="288" w:lineRule="auto"/>
        <w:ind w:firstLine="396" w:firstLineChars="200"/>
        <w:rPr>
          <w:rFonts w:ascii="宋体" w:hAnsi="宋体" w:cs="宋体"/>
          <w:spacing w:val="-6"/>
          <w:sz w:val="21"/>
          <w:szCs w:val="21"/>
        </w:rPr>
      </w:pPr>
      <w:r>
        <w:rPr>
          <w:rFonts w:hint="eastAsia" w:ascii="宋体" w:hAnsi="宋体" w:cs="宋体"/>
          <w:spacing w:val="-6"/>
          <w:sz w:val="21"/>
          <w:szCs w:val="21"/>
        </w:rPr>
        <w:t>（地址：杭州市西湖区玉古路173号中田大厦21楼H室财务室）。</w:t>
      </w:r>
    </w:p>
    <w:p>
      <w:pPr>
        <w:widowControl/>
        <w:spacing w:line="288" w:lineRule="auto"/>
        <w:ind w:right="60" w:firstLine="396" w:firstLineChars="200"/>
        <w:jc w:val="left"/>
        <w:rPr>
          <w:rFonts w:ascii="宋体" w:hAnsi="宋体" w:cs="宋体"/>
          <w:b/>
          <w:spacing w:val="-6"/>
          <w:kern w:val="0"/>
          <w:sz w:val="21"/>
          <w:szCs w:val="21"/>
        </w:rPr>
      </w:pPr>
      <w:r>
        <w:rPr>
          <w:rFonts w:hint="eastAsia" w:ascii="宋体" w:hAnsi="宋体" w:cs="宋体"/>
          <w:spacing w:val="-6"/>
          <w:kern w:val="0"/>
          <w:sz w:val="21"/>
          <w:szCs w:val="21"/>
        </w:rPr>
        <w:t>交付方式：</w:t>
      </w:r>
      <w:r>
        <w:rPr>
          <w:rFonts w:hint="eastAsia" w:ascii="宋体" w:hAnsi="宋体" w:cs="宋体"/>
          <w:b/>
          <w:spacing w:val="-6"/>
          <w:kern w:val="0"/>
          <w:sz w:val="21"/>
          <w:szCs w:val="21"/>
        </w:rPr>
        <w:t>转账、银行汇款等非现金方式。</w:t>
      </w:r>
    </w:p>
    <w:p>
      <w:pPr>
        <w:widowControl/>
        <w:spacing w:line="288" w:lineRule="auto"/>
        <w:ind w:right="60" w:firstLine="396" w:firstLineChars="200"/>
        <w:jc w:val="left"/>
        <w:rPr>
          <w:rFonts w:ascii="宋体" w:hAnsi="宋体" w:cs="宋体"/>
          <w:spacing w:val="-6"/>
          <w:kern w:val="0"/>
          <w:sz w:val="21"/>
          <w:szCs w:val="21"/>
        </w:rPr>
      </w:pPr>
      <w:r>
        <w:rPr>
          <w:rFonts w:hint="eastAsia" w:ascii="宋体" w:hAnsi="宋体" w:cs="宋体"/>
          <w:spacing w:val="-6"/>
          <w:kern w:val="0"/>
          <w:sz w:val="21"/>
          <w:szCs w:val="21"/>
        </w:rPr>
        <w:t>收款单位（户名）:浙江求是招标代理有限公司</w:t>
      </w:r>
    </w:p>
    <w:p>
      <w:pPr>
        <w:widowControl/>
        <w:spacing w:line="288" w:lineRule="auto"/>
        <w:ind w:right="60" w:firstLine="396" w:firstLineChars="200"/>
        <w:jc w:val="left"/>
        <w:rPr>
          <w:rFonts w:ascii="宋体" w:hAnsi="宋体" w:cs="宋体"/>
          <w:spacing w:val="-6"/>
          <w:kern w:val="0"/>
          <w:sz w:val="21"/>
          <w:szCs w:val="21"/>
        </w:rPr>
      </w:pPr>
      <w:r>
        <w:rPr>
          <w:rFonts w:hint="eastAsia" w:ascii="宋体" w:hAnsi="宋体" w:cs="宋体"/>
          <w:spacing w:val="-6"/>
          <w:kern w:val="0"/>
          <w:sz w:val="21"/>
          <w:szCs w:val="21"/>
        </w:rPr>
        <w:t>开户银行：</w:t>
      </w:r>
      <w:bookmarkStart w:id="19" w:name="B34_开户银行"/>
      <w:r>
        <w:rPr>
          <w:rFonts w:hint="eastAsia" w:ascii="宋体" w:hAnsi="宋体" w:cs="宋体"/>
          <w:spacing w:val="-6"/>
          <w:kern w:val="0"/>
          <w:sz w:val="21"/>
          <w:szCs w:val="21"/>
        </w:rPr>
        <w:t>工行浙大支行</w:t>
      </w:r>
      <w:bookmarkEnd w:id="19"/>
    </w:p>
    <w:p>
      <w:pPr>
        <w:widowControl/>
        <w:spacing w:line="288" w:lineRule="auto"/>
        <w:ind w:right="60" w:firstLine="396" w:firstLineChars="200"/>
        <w:jc w:val="left"/>
        <w:rPr>
          <w:rFonts w:ascii="宋体" w:hAnsi="宋体" w:cs="宋体"/>
          <w:spacing w:val="-6"/>
          <w:kern w:val="0"/>
          <w:sz w:val="21"/>
          <w:szCs w:val="21"/>
        </w:rPr>
      </w:pPr>
      <w:r>
        <w:rPr>
          <w:rFonts w:hint="eastAsia" w:ascii="宋体" w:hAnsi="宋体" w:cs="宋体"/>
          <w:spacing w:val="-6"/>
          <w:kern w:val="0"/>
          <w:sz w:val="21"/>
          <w:szCs w:val="21"/>
        </w:rPr>
        <w:t>银行账号：</w:t>
      </w:r>
      <w:bookmarkStart w:id="20" w:name="B35_账号"/>
      <w:r>
        <w:rPr>
          <w:rFonts w:hint="eastAsia" w:ascii="宋体" w:hAnsi="宋体" w:cs="宋体"/>
          <w:spacing w:val="-6"/>
          <w:kern w:val="0"/>
          <w:sz w:val="21"/>
          <w:szCs w:val="21"/>
        </w:rPr>
        <w:t>1202024609900033043</w:t>
      </w:r>
      <w:bookmarkEnd w:id="20"/>
    </w:p>
    <w:p>
      <w:pPr>
        <w:widowControl/>
        <w:spacing w:line="288" w:lineRule="auto"/>
        <w:ind w:right="60" w:firstLine="396" w:firstLineChars="200"/>
        <w:jc w:val="left"/>
        <w:rPr>
          <w:rFonts w:ascii="宋体" w:hAnsi="宋体" w:cs="宋体"/>
          <w:spacing w:val="-6"/>
          <w:kern w:val="0"/>
          <w:sz w:val="21"/>
          <w:szCs w:val="21"/>
          <w:highlight w:val="none"/>
        </w:rPr>
      </w:pPr>
      <w:r>
        <w:rPr>
          <w:rFonts w:hint="eastAsia" w:ascii="宋体" w:hAnsi="宋体" w:cs="宋体"/>
          <w:spacing w:val="-6"/>
          <w:kern w:val="0"/>
          <w:sz w:val="21"/>
          <w:szCs w:val="21"/>
        </w:rPr>
        <w:t>财务</w:t>
      </w:r>
      <w:r>
        <w:rPr>
          <w:rFonts w:hint="eastAsia" w:ascii="宋体" w:hAnsi="宋体" w:cs="宋体"/>
          <w:spacing w:val="-6"/>
          <w:kern w:val="0"/>
          <w:sz w:val="21"/>
          <w:szCs w:val="21"/>
          <w:highlight w:val="none"/>
        </w:rPr>
        <w:t>联系方式：0571-87666113</w:t>
      </w:r>
    </w:p>
    <w:p>
      <w:pPr>
        <w:adjustRightInd w:val="0"/>
        <w:snapToGrid w:val="0"/>
        <w:spacing w:line="288" w:lineRule="auto"/>
        <w:rPr>
          <w:rFonts w:ascii="宋体" w:hAnsi="宋体" w:cs="宋体"/>
          <w:b/>
          <w:sz w:val="21"/>
          <w:szCs w:val="21"/>
          <w:highlight w:val="none"/>
        </w:rPr>
      </w:pPr>
      <w:r>
        <w:rPr>
          <w:rFonts w:hint="eastAsia" w:ascii="宋体" w:hAnsi="宋体" w:cs="宋体"/>
          <w:b/>
          <w:sz w:val="21"/>
          <w:szCs w:val="21"/>
          <w:highlight w:val="none"/>
        </w:rPr>
        <w:t>五、提交投标文件</w:t>
      </w:r>
      <w:bookmarkEnd w:id="13"/>
      <w:bookmarkEnd w:id="14"/>
      <w:r>
        <w:rPr>
          <w:rFonts w:hint="eastAsia" w:ascii="宋体" w:hAnsi="宋体" w:cs="宋体"/>
          <w:b/>
          <w:sz w:val="21"/>
          <w:szCs w:val="21"/>
          <w:highlight w:val="none"/>
        </w:rPr>
        <w:t>截止时间、开标时间和地点</w:t>
      </w:r>
      <w:bookmarkEnd w:id="15"/>
      <w:bookmarkEnd w:id="16"/>
    </w:p>
    <w:p>
      <w:pPr>
        <w:adjustRightInd w:val="0"/>
        <w:snapToGrid w:val="0"/>
        <w:spacing w:line="288" w:lineRule="auto"/>
        <w:ind w:firstLine="420" w:firstLineChars="200"/>
        <w:rPr>
          <w:rFonts w:ascii="宋体" w:hAnsi="宋体"/>
          <w:bCs/>
          <w:sz w:val="21"/>
          <w:szCs w:val="21"/>
          <w:highlight w:val="none"/>
        </w:rPr>
      </w:pPr>
      <w:r>
        <w:rPr>
          <w:rFonts w:hint="eastAsia" w:ascii="宋体" w:hAnsi="宋体"/>
          <w:bCs/>
          <w:sz w:val="21"/>
          <w:szCs w:val="21"/>
          <w:highlight w:val="none"/>
        </w:rPr>
        <w:t>1.时间：</w:t>
      </w:r>
      <w:r>
        <w:rPr>
          <w:rFonts w:hint="eastAsia" w:ascii="宋体" w:hAnsi="宋体"/>
          <w:bCs/>
          <w:sz w:val="21"/>
          <w:szCs w:val="21"/>
          <w:highlight w:val="none"/>
          <w:lang w:eastAsia="zh-CN"/>
        </w:rPr>
        <w:t>2024年1月26日9:00:00</w:t>
      </w:r>
      <w:r>
        <w:rPr>
          <w:rFonts w:hint="eastAsia" w:ascii="宋体" w:hAnsi="宋体"/>
          <w:bCs/>
          <w:sz w:val="21"/>
          <w:szCs w:val="21"/>
          <w:highlight w:val="none"/>
        </w:rPr>
        <w:t>（北京时间）</w:t>
      </w:r>
    </w:p>
    <w:p>
      <w:pPr>
        <w:adjustRightInd w:val="0"/>
        <w:snapToGrid w:val="0"/>
        <w:spacing w:line="288" w:lineRule="auto"/>
        <w:ind w:firstLine="420" w:firstLineChars="200"/>
        <w:rPr>
          <w:rFonts w:hint="eastAsia" w:ascii="宋体" w:hAnsi="宋体" w:eastAsia="宋体"/>
          <w:bCs/>
          <w:sz w:val="21"/>
          <w:szCs w:val="21"/>
          <w:lang w:val="en-US" w:eastAsia="zh-CN"/>
        </w:rPr>
      </w:pPr>
      <w:r>
        <w:rPr>
          <w:rFonts w:ascii="宋体" w:hAnsi="宋体"/>
          <w:bCs/>
          <w:sz w:val="21"/>
          <w:szCs w:val="21"/>
          <w:highlight w:val="none"/>
        </w:rPr>
        <w:t>2</w:t>
      </w:r>
      <w:r>
        <w:rPr>
          <w:rFonts w:hint="eastAsia" w:ascii="宋体" w:hAnsi="宋体"/>
          <w:bCs/>
          <w:sz w:val="21"/>
          <w:szCs w:val="21"/>
          <w:highlight w:val="none"/>
        </w:rPr>
        <w:t>.地点：杭州市西湖区玉古路173号中田</w:t>
      </w:r>
      <w:r>
        <w:rPr>
          <w:rFonts w:hint="eastAsia" w:ascii="宋体" w:hAnsi="宋体"/>
          <w:bCs/>
          <w:sz w:val="21"/>
          <w:szCs w:val="21"/>
        </w:rPr>
        <w:t>大厦21楼求是招标会议室</w:t>
      </w:r>
      <w:r>
        <w:rPr>
          <w:rFonts w:hint="eastAsia" w:ascii="宋体" w:hAnsi="宋体"/>
          <w:bCs/>
          <w:sz w:val="21"/>
          <w:szCs w:val="21"/>
          <w:lang w:val="en-US" w:eastAsia="zh-CN"/>
        </w:rPr>
        <w:t>4</w:t>
      </w:r>
    </w:p>
    <w:p>
      <w:pPr>
        <w:adjustRightInd w:val="0"/>
        <w:snapToGrid w:val="0"/>
        <w:spacing w:line="288" w:lineRule="auto"/>
        <w:ind w:firstLine="420" w:firstLineChars="200"/>
        <w:rPr>
          <w:rFonts w:ascii="宋体" w:hAnsi="宋体"/>
          <w:bCs/>
          <w:sz w:val="21"/>
          <w:szCs w:val="21"/>
        </w:rPr>
      </w:pPr>
      <w:r>
        <w:rPr>
          <w:rFonts w:hint="eastAsia" w:ascii="宋体" w:hAnsi="宋体"/>
          <w:bCs/>
          <w:sz w:val="21"/>
          <w:szCs w:val="21"/>
        </w:rPr>
        <w:t>备注：投标人逾期送达或者未按照招标文件要求密封的投标文件，采购代理机构将予以拒收；</w:t>
      </w:r>
    </w:p>
    <w:p>
      <w:pPr>
        <w:adjustRightInd w:val="0"/>
        <w:snapToGrid w:val="0"/>
        <w:spacing w:line="288" w:lineRule="auto"/>
        <w:rPr>
          <w:rFonts w:ascii="宋体" w:hAnsi="宋体" w:cs="宋体"/>
          <w:b/>
          <w:sz w:val="21"/>
          <w:szCs w:val="21"/>
        </w:rPr>
      </w:pPr>
      <w:bookmarkStart w:id="21" w:name="_Toc28359007"/>
      <w:bookmarkStart w:id="22" w:name="_Toc35393625"/>
      <w:bookmarkStart w:id="23" w:name="_Toc28359084"/>
      <w:bookmarkStart w:id="24" w:name="_Toc35393794"/>
      <w:r>
        <w:rPr>
          <w:rFonts w:hint="eastAsia" w:ascii="宋体" w:hAnsi="宋体" w:cs="宋体"/>
          <w:b/>
          <w:sz w:val="21"/>
          <w:szCs w:val="21"/>
        </w:rPr>
        <w:t>六、公告期限</w:t>
      </w:r>
      <w:bookmarkEnd w:id="21"/>
      <w:bookmarkEnd w:id="22"/>
      <w:bookmarkEnd w:id="23"/>
      <w:bookmarkEnd w:id="24"/>
    </w:p>
    <w:p>
      <w:pPr>
        <w:adjustRightInd w:val="0"/>
        <w:snapToGrid w:val="0"/>
        <w:spacing w:line="288" w:lineRule="auto"/>
        <w:ind w:firstLine="420" w:firstLineChars="200"/>
        <w:rPr>
          <w:rFonts w:ascii="宋体" w:hAnsi="宋体" w:cs="宋体"/>
          <w:kern w:val="0"/>
          <w:sz w:val="21"/>
          <w:szCs w:val="21"/>
        </w:rPr>
      </w:pPr>
      <w:r>
        <w:rPr>
          <w:rFonts w:hint="eastAsia" w:ascii="宋体" w:hAnsi="宋体" w:cs="宋体"/>
          <w:kern w:val="0"/>
          <w:sz w:val="21"/>
          <w:szCs w:val="21"/>
        </w:rPr>
        <w:t>自本公告发布之日起5个工作日。</w:t>
      </w:r>
    </w:p>
    <w:p>
      <w:pPr>
        <w:adjustRightInd w:val="0"/>
        <w:snapToGrid w:val="0"/>
        <w:spacing w:line="288" w:lineRule="auto"/>
        <w:rPr>
          <w:rFonts w:ascii="宋体" w:hAnsi="宋体" w:cs="宋体"/>
          <w:b/>
          <w:sz w:val="21"/>
          <w:szCs w:val="21"/>
        </w:rPr>
      </w:pPr>
      <w:bookmarkStart w:id="25" w:name="_Toc35393626"/>
      <w:bookmarkStart w:id="26" w:name="_Toc35393795"/>
      <w:r>
        <w:rPr>
          <w:rFonts w:hint="eastAsia" w:ascii="宋体" w:hAnsi="宋体" w:cs="宋体"/>
          <w:b/>
          <w:sz w:val="21"/>
          <w:szCs w:val="21"/>
        </w:rPr>
        <w:t>七、其他补充事宜</w:t>
      </w:r>
      <w:bookmarkEnd w:id="25"/>
      <w:bookmarkEnd w:id="26"/>
    </w:p>
    <w:p>
      <w:pPr>
        <w:adjustRightInd w:val="0"/>
        <w:snapToGrid w:val="0"/>
        <w:spacing w:line="288" w:lineRule="auto"/>
        <w:ind w:firstLine="420" w:firstLineChars="200"/>
        <w:rPr>
          <w:rFonts w:ascii="宋体" w:hAnsi="宋体"/>
          <w:sz w:val="21"/>
          <w:szCs w:val="21"/>
        </w:rPr>
      </w:pPr>
      <w:r>
        <w:rPr>
          <w:rFonts w:ascii="宋体" w:hAnsi="宋体"/>
          <w:sz w:val="21"/>
          <w:szCs w:val="21"/>
        </w:rPr>
        <w:t>1.</w:t>
      </w:r>
      <w:r>
        <w:rPr>
          <w:rFonts w:hint="eastAsia" w:ascii="宋体" w:hAnsi="宋体"/>
          <w:sz w:val="21"/>
          <w:szCs w:val="21"/>
        </w:rPr>
        <w:t>供应商认为采购文件使自己的权益受到损害的，可以自获取采购文件之日或者采购公告期限届满之日（公告期限届满后获取采购文件的，以公告期限届满之日为准）起</w:t>
      </w:r>
      <w:r>
        <w:rPr>
          <w:rFonts w:ascii="宋体" w:hAnsi="宋体"/>
          <w:sz w:val="21"/>
          <w:szCs w:val="21"/>
        </w:rPr>
        <w:t>7个工作日内，对采购文件需求的以书面形式向采购人提出质疑，对其他内容的以书面形式向采购人和采购代理机构提出质疑。质疑供应商对采购人、采购代理机构的答复不满意或者采购人、采购代理机构未在规定的时间内作出答复的，可以在答复期满后十五个工作日内向同级政府采购监督管理部门投诉。质疑函范本、投诉书范本请到浙江政府采购网下载专区下载。</w:t>
      </w:r>
    </w:p>
    <w:p>
      <w:pPr>
        <w:adjustRightInd w:val="0"/>
        <w:snapToGrid w:val="0"/>
        <w:spacing w:line="288" w:lineRule="auto"/>
        <w:ind w:firstLine="420" w:firstLineChars="200"/>
        <w:rPr>
          <w:rFonts w:ascii="宋体" w:hAnsi="宋体"/>
          <w:sz w:val="21"/>
          <w:szCs w:val="21"/>
        </w:rPr>
      </w:pPr>
      <w:r>
        <w:rPr>
          <w:rFonts w:ascii="宋体" w:hAnsi="宋体"/>
          <w:sz w:val="21"/>
          <w:szCs w:val="21"/>
        </w:rPr>
        <w:t>2.需要落实的政府采购政策：包括节约资源、保护环境、</w:t>
      </w:r>
      <w:r>
        <w:rPr>
          <w:rFonts w:hint="eastAsia" w:ascii="宋体" w:hAnsi="宋体"/>
          <w:sz w:val="21"/>
          <w:szCs w:val="21"/>
        </w:rPr>
        <w:t>支持科技创新、</w:t>
      </w:r>
      <w:r>
        <w:rPr>
          <w:rFonts w:ascii="宋体" w:hAnsi="宋体"/>
          <w:sz w:val="21"/>
          <w:szCs w:val="21"/>
        </w:rPr>
        <w:t>促进中小企业发展等。详见招标文件的第</w:t>
      </w:r>
      <w:r>
        <w:rPr>
          <w:rFonts w:hint="eastAsia" w:ascii="宋体" w:hAnsi="宋体"/>
          <w:sz w:val="21"/>
          <w:szCs w:val="21"/>
        </w:rPr>
        <w:t>三章-采购项目需要落实的政府采购政策</w:t>
      </w:r>
      <w:r>
        <w:rPr>
          <w:rFonts w:ascii="宋体" w:hAnsi="宋体"/>
          <w:sz w:val="21"/>
          <w:szCs w:val="21"/>
        </w:rPr>
        <w:t>。</w:t>
      </w:r>
    </w:p>
    <w:p>
      <w:pPr>
        <w:adjustRightInd w:val="0"/>
        <w:snapToGrid w:val="0"/>
        <w:spacing w:line="288" w:lineRule="auto"/>
        <w:ind w:firstLine="420" w:firstLineChars="200"/>
        <w:rPr>
          <w:rFonts w:ascii="宋体" w:hAnsi="宋体"/>
          <w:sz w:val="21"/>
          <w:szCs w:val="21"/>
        </w:rPr>
      </w:pPr>
      <w:r>
        <w:rPr>
          <w:rFonts w:hint="eastAsia" w:ascii="宋体" w:hAnsi="宋体"/>
          <w:sz w:val="21"/>
          <w:szCs w:val="21"/>
        </w:rPr>
        <w:t>▲</w:t>
      </w:r>
      <w:r>
        <w:rPr>
          <w:rFonts w:ascii="宋体" w:hAnsi="宋体"/>
          <w:sz w:val="21"/>
          <w:szCs w:val="21"/>
        </w:rPr>
        <w:t>3.</w:t>
      </w:r>
      <w:bookmarkStart w:id="27" w:name="_Hlk92271072"/>
      <w:r>
        <w:rPr>
          <w:rFonts w:ascii="宋体" w:hAnsi="宋体"/>
          <w:sz w:val="21"/>
          <w:szCs w:val="21"/>
        </w:rPr>
        <w:t>单位负责人为同一人或者存在直接控股、管理关系的不同供应商，不得参加同一合同项下的政府采购活动；为采购项目提供整体设计、规范编制或者项目管理、监理、检测等服务后不得再参加该采购项目的其他采购活动。</w:t>
      </w:r>
      <w:bookmarkEnd w:id="27"/>
    </w:p>
    <w:p>
      <w:pPr>
        <w:adjustRightInd w:val="0"/>
        <w:snapToGrid w:val="0"/>
        <w:spacing w:line="288" w:lineRule="auto"/>
        <w:ind w:firstLine="420" w:firstLineChars="200"/>
        <w:rPr>
          <w:rFonts w:ascii="宋体" w:hAnsi="宋体"/>
          <w:sz w:val="21"/>
          <w:szCs w:val="21"/>
        </w:rPr>
      </w:pPr>
      <w:r>
        <w:rPr>
          <w:rFonts w:ascii="宋体" w:hAnsi="宋体"/>
          <w:sz w:val="21"/>
          <w:szCs w:val="21"/>
        </w:rPr>
        <w:t>4</w:t>
      </w:r>
      <w:r>
        <w:rPr>
          <w:rFonts w:hint="eastAsia" w:ascii="宋体" w:hAnsi="宋体"/>
          <w:sz w:val="21"/>
          <w:szCs w:val="21"/>
        </w:rPr>
        <w:t>.投标人代表</w:t>
      </w:r>
      <w:r>
        <w:rPr>
          <w:rFonts w:hint="eastAsia" w:ascii="宋体" w:hAnsi="宋体"/>
          <w:b/>
          <w:bCs/>
          <w:sz w:val="21"/>
          <w:szCs w:val="21"/>
        </w:rPr>
        <w:t>非必须</w:t>
      </w:r>
      <w:r>
        <w:rPr>
          <w:rFonts w:hint="eastAsia" w:ascii="宋体" w:hAnsi="宋体"/>
          <w:sz w:val="21"/>
          <w:szCs w:val="21"/>
        </w:rPr>
        <w:t>到开标现场提交投标文件，投标文件可通过邮寄的方式递交。投标人须考虑物流等相关因素，合理计划邮寄时间，尽量在开标截止时间前一个工作日内送到指定地点。在投标截止时间后送达的，将被视为“逾期送达”。投标人未参加开标的，视同认可开标结果。具体要求如下：</w:t>
      </w:r>
    </w:p>
    <w:p>
      <w:pPr>
        <w:adjustRightInd w:val="0"/>
        <w:snapToGrid w:val="0"/>
        <w:spacing w:line="288" w:lineRule="auto"/>
        <w:ind w:firstLine="420" w:firstLineChars="200"/>
        <w:rPr>
          <w:rFonts w:ascii="宋体" w:hAnsi="宋体"/>
          <w:sz w:val="21"/>
          <w:szCs w:val="21"/>
        </w:rPr>
      </w:pPr>
      <w:r>
        <w:rPr>
          <w:rFonts w:hint="eastAsia" w:ascii="宋体" w:hAnsi="宋体"/>
          <w:sz w:val="21"/>
          <w:szCs w:val="21"/>
        </w:rPr>
        <w:t>（1）邮寄地址：杭州市西湖区玉古路173号中田大厦21楼H室，浙江求是招标代理有限公司（陈应俭、蒋晗）收，电话：0571-87670301，寄出后将（快递单号、项目名称、公司名称、联系方式等相关信息）发至：zb02@qszb.net，以便查收）。</w:t>
      </w:r>
    </w:p>
    <w:p>
      <w:pPr>
        <w:adjustRightInd w:val="0"/>
        <w:snapToGrid w:val="0"/>
        <w:spacing w:line="288" w:lineRule="auto"/>
        <w:ind w:firstLine="420" w:firstLineChars="200"/>
        <w:rPr>
          <w:rFonts w:ascii="宋体" w:hAnsi="宋体"/>
          <w:sz w:val="21"/>
          <w:szCs w:val="21"/>
        </w:rPr>
      </w:pPr>
      <w:r>
        <w:rPr>
          <w:rFonts w:hint="eastAsia" w:ascii="宋体" w:hAnsi="宋体"/>
          <w:sz w:val="21"/>
          <w:szCs w:val="21"/>
        </w:rPr>
        <w:t>特别说明：双休日和法定节假日不收件，投标人自行承担邮寄风险。</w:t>
      </w:r>
    </w:p>
    <w:p>
      <w:pPr>
        <w:adjustRightInd w:val="0"/>
        <w:snapToGrid w:val="0"/>
        <w:spacing w:line="288" w:lineRule="auto"/>
        <w:ind w:firstLine="420" w:firstLineChars="200"/>
        <w:rPr>
          <w:rFonts w:ascii="宋体" w:hAnsi="宋体"/>
          <w:sz w:val="21"/>
          <w:szCs w:val="21"/>
        </w:rPr>
      </w:pPr>
      <w:r>
        <w:rPr>
          <w:rFonts w:hint="eastAsia" w:ascii="宋体" w:hAnsi="宋体"/>
          <w:sz w:val="21"/>
          <w:szCs w:val="21"/>
        </w:rPr>
        <w:t>（2）请投标人确保投标文件在邮寄过程密封包装完好，因邮寄过程的密封破损造成不符合开标要求的，本招标代理及采购人概不负责。建议投标文件密封包装后邮寄时再进行外包装。投标人应对邮寄快递响应文件的完整性、密封性负责。</w:t>
      </w:r>
    </w:p>
    <w:p>
      <w:pPr>
        <w:adjustRightInd w:val="0"/>
        <w:snapToGrid w:val="0"/>
        <w:spacing w:line="288" w:lineRule="auto"/>
        <w:ind w:firstLine="420" w:firstLineChars="200"/>
        <w:rPr>
          <w:rFonts w:ascii="宋体" w:hAnsi="宋体"/>
          <w:sz w:val="21"/>
          <w:szCs w:val="21"/>
        </w:rPr>
      </w:pPr>
      <w:r>
        <w:rPr>
          <w:rFonts w:hint="eastAsia" w:ascii="宋体" w:hAnsi="宋体"/>
          <w:sz w:val="21"/>
          <w:szCs w:val="21"/>
        </w:rPr>
        <w:t>（3）投标人代表不在开标现场的，取消投标人在开标现场的书面签名确认等有关操作要求；评审现场如需要投标人澄清、说明等，均通过指定的电子邮箱（zb02@qszb.net）向投标人发送澄清、说明等通知，并要求在收到通知后半小时内以邮件形式作出澄清、说明等。</w:t>
      </w:r>
    </w:p>
    <w:p>
      <w:pPr>
        <w:adjustRightInd w:val="0"/>
        <w:snapToGrid w:val="0"/>
        <w:spacing w:line="288" w:lineRule="auto"/>
        <w:rPr>
          <w:rFonts w:ascii="宋体" w:hAnsi="宋体"/>
          <w:b/>
          <w:sz w:val="21"/>
          <w:szCs w:val="21"/>
        </w:rPr>
      </w:pPr>
      <w:bookmarkStart w:id="28" w:name="_Toc35393796"/>
      <w:bookmarkStart w:id="29" w:name="_Toc28359008"/>
      <w:bookmarkStart w:id="30" w:name="_Toc35393627"/>
      <w:bookmarkStart w:id="31" w:name="_Toc28359085"/>
      <w:r>
        <w:rPr>
          <w:rFonts w:hint="eastAsia" w:ascii="宋体" w:hAnsi="宋体" w:cs="宋体"/>
          <w:b/>
          <w:sz w:val="21"/>
          <w:szCs w:val="21"/>
        </w:rPr>
        <w:t>八、对本次招标提出询问、质疑请按</w:t>
      </w:r>
      <w:r>
        <w:rPr>
          <w:rFonts w:ascii="宋体" w:hAnsi="宋体" w:cs="宋体"/>
          <w:b/>
          <w:sz w:val="21"/>
          <w:szCs w:val="21"/>
        </w:rPr>
        <w:t>以下方式</w:t>
      </w:r>
      <w:r>
        <w:rPr>
          <w:rFonts w:hint="eastAsia" w:ascii="宋体" w:hAnsi="宋体" w:cs="宋体"/>
          <w:b/>
          <w:sz w:val="21"/>
          <w:szCs w:val="21"/>
        </w:rPr>
        <w:t>联系</w:t>
      </w:r>
      <w:bookmarkEnd w:id="28"/>
      <w:bookmarkEnd w:id="29"/>
      <w:bookmarkEnd w:id="30"/>
      <w:bookmarkEnd w:id="31"/>
    </w:p>
    <w:p>
      <w:pPr>
        <w:adjustRightInd w:val="0"/>
        <w:snapToGrid w:val="0"/>
        <w:spacing w:line="288" w:lineRule="auto"/>
        <w:ind w:firstLine="420" w:firstLineChars="200"/>
        <w:rPr>
          <w:rFonts w:ascii="宋体" w:hAnsi="宋体"/>
          <w:sz w:val="21"/>
          <w:szCs w:val="21"/>
        </w:rPr>
      </w:pPr>
      <w:bookmarkStart w:id="32" w:name="_Hlk86245104"/>
      <w:r>
        <w:rPr>
          <w:rFonts w:hint="eastAsia" w:ascii="宋体" w:hAnsi="宋体"/>
          <w:sz w:val="21"/>
          <w:szCs w:val="21"/>
        </w:rPr>
        <w:t>1.采购人信息</w:t>
      </w:r>
    </w:p>
    <w:p>
      <w:pPr>
        <w:adjustRightInd w:val="0"/>
        <w:snapToGrid w:val="0"/>
        <w:spacing w:line="288" w:lineRule="auto"/>
        <w:ind w:firstLine="420" w:firstLineChars="200"/>
        <w:rPr>
          <w:rFonts w:ascii="宋体" w:hAnsi="宋体"/>
          <w:sz w:val="21"/>
          <w:szCs w:val="21"/>
        </w:rPr>
      </w:pPr>
      <w:r>
        <w:rPr>
          <w:rFonts w:hint="eastAsia" w:ascii="宋体" w:hAnsi="宋体"/>
          <w:sz w:val="21"/>
          <w:szCs w:val="21"/>
        </w:rPr>
        <w:t>名称：中国林业科学研究院亚热带林业研究所</w:t>
      </w:r>
    </w:p>
    <w:p>
      <w:pPr>
        <w:adjustRightInd w:val="0"/>
        <w:snapToGrid w:val="0"/>
        <w:spacing w:line="288" w:lineRule="auto"/>
        <w:ind w:firstLine="420" w:firstLineChars="200"/>
        <w:rPr>
          <w:rFonts w:ascii="宋体" w:hAnsi="宋体"/>
          <w:sz w:val="21"/>
          <w:szCs w:val="21"/>
        </w:rPr>
      </w:pPr>
      <w:r>
        <w:rPr>
          <w:rFonts w:hint="eastAsia" w:ascii="宋体" w:hAnsi="宋体"/>
          <w:sz w:val="21"/>
          <w:szCs w:val="21"/>
        </w:rPr>
        <w:t>地址：杭州市富阳区大桥路73号</w:t>
      </w:r>
    </w:p>
    <w:p>
      <w:pPr>
        <w:adjustRightInd w:val="0"/>
        <w:snapToGrid w:val="0"/>
        <w:spacing w:line="288" w:lineRule="auto"/>
        <w:ind w:firstLine="420" w:firstLineChars="200"/>
        <w:rPr>
          <w:rFonts w:ascii="宋体" w:hAnsi="宋体"/>
          <w:sz w:val="21"/>
          <w:szCs w:val="21"/>
        </w:rPr>
      </w:pPr>
      <w:r>
        <w:rPr>
          <w:rFonts w:hint="eastAsia" w:ascii="宋体" w:hAnsi="宋体"/>
          <w:sz w:val="21"/>
          <w:szCs w:val="21"/>
        </w:rPr>
        <w:t>联系人：林长春</w:t>
      </w:r>
    </w:p>
    <w:p>
      <w:pPr>
        <w:adjustRightInd w:val="0"/>
        <w:snapToGrid w:val="0"/>
        <w:spacing w:line="288" w:lineRule="auto"/>
        <w:ind w:firstLine="420" w:firstLineChars="200"/>
        <w:rPr>
          <w:rFonts w:ascii="宋体" w:hAnsi="宋体"/>
          <w:sz w:val="21"/>
          <w:szCs w:val="21"/>
        </w:rPr>
      </w:pPr>
      <w:r>
        <w:rPr>
          <w:rFonts w:hint="eastAsia" w:ascii="宋体" w:hAnsi="宋体"/>
          <w:sz w:val="21"/>
          <w:szCs w:val="21"/>
        </w:rPr>
        <w:t>联系方式：0571-63310891</w:t>
      </w:r>
    </w:p>
    <w:p>
      <w:pPr>
        <w:adjustRightInd w:val="0"/>
        <w:snapToGrid w:val="0"/>
        <w:spacing w:line="288" w:lineRule="auto"/>
        <w:ind w:firstLine="420" w:firstLineChars="200"/>
        <w:rPr>
          <w:rFonts w:ascii="宋体" w:hAnsi="宋体"/>
          <w:sz w:val="21"/>
          <w:szCs w:val="21"/>
        </w:rPr>
      </w:pPr>
      <w:r>
        <w:rPr>
          <w:rFonts w:hint="eastAsia" w:ascii="宋体" w:hAnsi="宋体"/>
          <w:sz w:val="21"/>
          <w:szCs w:val="21"/>
        </w:rPr>
        <w:t>采购项目联系人：林长春</w:t>
      </w:r>
    </w:p>
    <w:p>
      <w:pPr>
        <w:adjustRightInd w:val="0"/>
        <w:snapToGrid w:val="0"/>
        <w:spacing w:line="288" w:lineRule="auto"/>
        <w:ind w:firstLine="420" w:firstLineChars="200"/>
        <w:rPr>
          <w:rFonts w:ascii="宋体" w:hAnsi="宋体"/>
          <w:sz w:val="21"/>
          <w:szCs w:val="21"/>
        </w:rPr>
      </w:pPr>
      <w:r>
        <w:rPr>
          <w:rFonts w:hint="eastAsia" w:ascii="宋体" w:hAnsi="宋体"/>
          <w:sz w:val="21"/>
          <w:szCs w:val="21"/>
        </w:rPr>
        <w:t>采购项目联系方式：0571-63310891</w:t>
      </w:r>
    </w:p>
    <w:p>
      <w:pPr>
        <w:adjustRightInd w:val="0"/>
        <w:snapToGrid w:val="0"/>
        <w:spacing w:line="288" w:lineRule="auto"/>
        <w:ind w:firstLine="420" w:firstLineChars="200"/>
        <w:rPr>
          <w:rFonts w:ascii="宋体" w:hAnsi="宋体"/>
          <w:sz w:val="21"/>
          <w:szCs w:val="21"/>
        </w:rPr>
      </w:pPr>
      <w:r>
        <w:rPr>
          <w:rFonts w:hint="eastAsia" w:ascii="宋体" w:hAnsi="宋体"/>
          <w:sz w:val="21"/>
          <w:szCs w:val="21"/>
        </w:rPr>
        <w:t>质疑联系人：杨雪琼</w:t>
      </w:r>
    </w:p>
    <w:p>
      <w:pPr>
        <w:adjustRightInd w:val="0"/>
        <w:snapToGrid w:val="0"/>
        <w:spacing w:line="288" w:lineRule="auto"/>
        <w:ind w:firstLine="420" w:firstLineChars="200"/>
        <w:rPr>
          <w:rFonts w:ascii="宋体" w:hAnsi="宋体"/>
          <w:sz w:val="21"/>
          <w:szCs w:val="21"/>
        </w:rPr>
      </w:pPr>
      <w:r>
        <w:rPr>
          <w:rFonts w:hint="eastAsia" w:ascii="宋体" w:hAnsi="宋体"/>
          <w:sz w:val="21"/>
          <w:szCs w:val="21"/>
        </w:rPr>
        <w:t>质疑联系方式：0571-63310154</w:t>
      </w:r>
    </w:p>
    <w:bookmarkEnd w:id="32"/>
    <w:p>
      <w:pPr>
        <w:adjustRightInd w:val="0"/>
        <w:snapToGrid w:val="0"/>
        <w:spacing w:line="288" w:lineRule="auto"/>
        <w:ind w:firstLine="420" w:firstLineChars="200"/>
        <w:rPr>
          <w:rFonts w:ascii="宋体" w:hAnsi="宋体"/>
          <w:sz w:val="21"/>
          <w:szCs w:val="21"/>
        </w:rPr>
      </w:pPr>
    </w:p>
    <w:p>
      <w:pPr>
        <w:adjustRightInd w:val="0"/>
        <w:snapToGrid w:val="0"/>
        <w:spacing w:line="288" w:lineRule="auto"/>
        <w:ind w:firstLine="420" w:firstLineChars="200"/>
        <w:rPr>
          <w:rFonts w:ascii="宋体" w:hAnsi="宋体"/>
          <w:sz w:val="21"/>
          <w:szCs w:val="21"/>
        </w:rPr>
      </w:pPr>
      <w:r>
        <w:rPr>
          <w:rFonts w:hint="eastAsia" w:ascii="宋体" w:hAnsi="宋体"/>
          <w:sz w:val="21"/>
          <w:szCs w:val="21"/>
        </w:rPr>
        <w:t>2.采购代理机构信息</w:t>
      </w:r>
    </w:p>
    <w:p>
      <w:pPr>
        <w:adjustRightInd w:val="0"/>
        <w:snapToGrid w:val="0"/>
        <w:spacing w:line="288" w:lineRule="auto"/>
        <w:ind w:firstLine="420" w:firstLineChars="200"/>
        <w:rPr>
          <w:rFonts w:ascii="宋体" w:hAnsi="宋体"/>
          <w:sz w:val="21"/>
          <w:szCs w:val="21"/>
        </w:rPr>
      </w:pPr>
      <w:r>
        <w:rPr>
          <w:rFonts w:hint="eastAsia" w:ascii="宋体" w:hAnsi="宋体"/>
          <w:sz w:val="21"/>
          <w:szCs w:val="21"/>
        </w:rPr>
        <w:t>名称：浙江求是招标代理有限公司</w:t>
      </w:r>
    </w:p>
    <w:p>
      <w:pPr>
        <w:adjustRightInd w:val="0"/>
        <w:snapToGrid w:val="0"/>
        <w:spacing w:line="288" w:lineRule="auto"/>
        <w:ind w:firstLine="420" w:firstLineChars="200"/>
        <w:rPr>
          <w:rFonts w:ascii="宋体" w:hAnsi="宋体"/>
          <w:sz w:val="21"/>
          <w:szCs w:val="21"/>
        </w:rPr>
      </w:pPr>
      <w:r>
        <w:rPr>
          <w:rFonts w:hint="eastAsia" w:ascii="宋体" w:hAnsi="宋体"/>
          <w:sz w:val="21"/>
          <w:szCs w:val="21"/>
        </w:rPr>
        <w:t>地址：杭州市西湖区玉古路173号中田大厦21楼</w:t>
      </w:r>
    </w:p>
    <w:p>
      <w:pPr>
        <w:adjustRightInd w:val="0"/>
        <w:snapToGrid w:val="0"/>
        <w:spacing w:line="288" w:lineRule="auto"/>
        <w:ind w:firstLine="420" w:firstLineChars="200"/>
        <w:rPr>
          <w:rFonts w:ascii="宋体" w:hAnsi="宋体"/>
          <w:sz w:val="21"/>
          <w:szCs w:val="21"/>
        </w:rPr>
      </w:pPr>
      <w:r>
        <w:rPr>
          <w:rFonts w:hint="eastAsia" w:ascii="宋体" w:hAnsi="宋体"/>
          <w:sz w:val="21"/>
          <w:szCs w:val="21"/>
        </w:rPr>
        <w:t>项目联系人：陈应俭、蒋晗</w:t>
      </w:r>
    </w:p>
    <w:p>
      <w:pPr>
        <w:adjustRightInd w:val="0"/>
        <w:snapToGrid w:val="0"/>
        <w:spacing w:line="288" w:lineRule="auto"/>
        <w:ind w:firstLine="420" w:firstLineChars="200"/>
        <w:rPr>
          <w:rFonts w:ascii="宋体" w:hAnsi="宋体"/>
          <w:sz w:val="21"/>
          <w:szCs w:val="21"/>
        </w:rPr>
      </w:pPr>
      <w:r>
        <w:rPr>
          <w:rFonts w:hint="eastAsia" w:ascii="宋体" w:hAnsi="宋体"/>
          <w:sz w:val="21"/>
          <w:szCs w:val="21"/>
        </w:rPr>
        <w:t>项目联系方式：0571-87670301</w:t>
      </w:r>
    </w:p>
    <w:p>
      <w:pPr>
        <w:adjustRightInd w:val="0"/>
        <w:snapToGrid w:val="0"/>
        <w:spacing w:line="288" w:lineRule="auto"/>
        <w:ind w:firstLine="420" w:firstLineChars="200"/>
        <w:rPr>
          <w:rFonts w:hint="eastAsia" w:ascii="宋体" w:hAnsi="宋体" w:eastAsia="宋体"/>
          <w:sz w:val="21"/>
          <w:szCs w:val="21"/>
          <w:lang w:val="en-US" w:eastAsia="zh-CN"/>
        </w:rPr>
      </w:pPr>
      <w:r>
        <w:rPr>
          <w:rFonts w:hint="eastAsia" w:ascii="宋体" w:hAnsi="宋体"/>
          <w:sz w:val="21"/>
          <w:szCs w:val="21"/>
        </w:rPr>
        <w:t>质疑联系人：</w:t>
      </w:r>
      <w:r>
        <w:rPr>
          <w:rFonts w:hint="eastAsia" w:ascii="宋体" w:hAnsi="宋体"/>
          <w:sz w:val="21"/>
          <w:szCs w:val="21"/>
          <w:lang w:val="en-US" w:eastAsia="zh-CN"/>
        </w:rPr>
        <w:t>刘璐</w:t>
      </w:r>
    </w:p>
    <w:p>
      <w:pPr>
        <w:adjustRightInd w:val="0"/>
        <w:snapToGrid w:val="0"/>
        <w:spacing w:line="288" w:lineRule="auto"/>
        <w:ind w:firstLine="420" w:firstLineChars="200"/>
        <w:rPr>
          <w:rFonts w:ascii="宋体" w:hAnsi="宋体"/>
          <w:sz w:val="21"/>
          <w:szCs w:val="21"/>
        </w:rPr>
      </w:pPr>
      <w:r>
        <w:rPr>
          <w:rFonts w:hint="eastAsia" w:ascii="宋体" w:hAnsi="宋体"/>
          <w:sz w:val="21"/>
          <w:szCs w:val="21"/>
        </w:rPr>
        <w:t>质疑联系方式：0571-81110356</w:t>
      </w:r>
    </w:p>
    <w:p>
      <w:pPr>
        <w:adjustRightInd w:val="0"/>
        <w:snapToGrid w:val="0"/>
        <w:spacing w:line="288" w:lineRule="auto"/>
        <w:ind w:firstLine="420" w:firstLineChars="200"/>
        <w:rPr>
          <w:rFonts w:ascii="宋体" w:hAnsi="宋体"/>
          <w:sz w:val="21"/>
          <w:szCs w:val="21"/>
        </w:rPr>
      </w:pPr>
      <w:r>
        <w:rPr>
          <w:rFonts w:hint="eastAsia" w:ascii="宋体" w:hAnsi="宋体"/>
          <w:sz w:val="21"/>
          <w:szCs w:val="21"/>
        </w:rPr>
        <w:t>质疑邮箱：jdkh@qszb.net</w:t>
      </w:r>
    </w:p>
    <w:p>
      <w:pPr>
        <w:adjustRightInd w:val="0"/>
        <w:snapToGrid w:val="0"/>
        <w:spacing w:line="288" w:lineRule="auto"/>
        <w:ind w:left="238"/>
        <w:jc w:val="center"/>
        <w:outlineLvl w:val="0"/>
        <w:rPr>
          <w:rFonts w:ascii="宋体" w:hAnsi="宋体"/>
          <w:b/>
          <w:bCs/>
          <w:sz w:val="32"/>
          <w:szCs w:val="32"/>
        </w:rPr>
      </w:pPr>
      <w:r>
        <w:rPr>
          <w:rFonts w:hint="eastAsia" w:ascii="宋体" w:hAnsi="宋体"/>
          <w:sz w:val="21"/>
          <w:szCs w:val="21"/>
        </w:rPr>
        <w:br w:type="page"/>
      </w:r>
      <w:r>
        <w:rPr>
          <w:rFonts w:hint="eastAsia" w:ascii="宋体" w:hAnsi="宋体"/>
          <w:b/>
          <w:sz w:val="32"/>
          <w:szCs w:val="32"/>
        </w:rPr>
        <w:t xml:space="preserve">第二章  </w:t>
      </w:r>
      <w:r>
        <w:rPr>
          <w:rFonts w:hint="eastAsia" w:ascii="宋体" w:hAnsi="宋体"/>
          <w:b/>
          <w:bCs/>
          <w:sz w:val="32"/>
          <w:szCs w:val="32"/>
        </w:rPr>
        <w:t>采购需求</w:t>
      </w:r>
    </w:p>
    <w:p>
      <w:pPr>
        <w:adjustRightInd w:val="0"/>
        <w:snapToGrid w:val="0"/>
        <w:spacing w:line="288" w:lineRule="auto"/>
        <w:ind w:left="238" w:hanging="238" w:hangingChars="113"/>
        <w:outlineLvl w:val="1"/>
        <w:rPr>
          <w:rFonts w:ascii="宋体" w:hAnsi="宋体"/>
          <w:b/>
          <w:sz w:val="21"/>
          <w:szCs w:val="21"/>
        </w:rPr>
      </w:pPr>
      <w:r>
        <w:rPr>
          <w:rFonts w:hint="eastAsia" w:ascii="宋体" w:hAnsi="宋体"/>
          <w:b/>
          <w:sz w:val="21"/>
          <w:szCs w:val="21"/>
        </w:rPr>
        <w:t>一</w:t>
      </w:r>
      <w:r>
        <w:rPr>
          <w:rFonts w:ascii="宋体" w:hAnsi="宋体"/>
          <w:b/>
          <w:sz w:val="21"/>
          <w:szCs w:val="21"/>
        </w:rPr>
        <w:t>、</w:t>
      </w:r>
      <w:r>
        <w:rPr>
          <w:rFonts w:hint="eastAsia" w:ascii="宋体" w:hAnsi="宋体"/>
          <w:b/>
          <w:sz w:val="21"/>
          <w:szCs w:val="21"/>
        </w:rPr>
        <w:t>为落实政府采购政策需满足的要求：</w:t>
      </w:r>
    </w:p>
    <w:tbl>
      <w:tblPr>
        <w:tblStyle w:val="24"/>
        <w:tblW w:w="9493"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8"/>
        <w:gridCol w:w="3256"/>
        <w:gridCol w:w="55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708" w:type="dxa"/>
            <w:vAlign w:val="center"/>
          </w:tcPr>
          <w:p>
            <w:pPr>
              <w:adjustRightInd w:val="0"/>
              <w:snapToGrid w:val="0"/>
              <w:spacing w:line="288" w:lineRule="auto"/>
              <w:jc w:val="center"/>
              <w:rPr>
                <w:rFonts w:ascii="宋体" w:hAnsi="宋体" w:cs="宋体"/>
                <w:b/>
                <w:bCs/>
                <w:sz w:val="21"/>
                <w:szCs w:val="21"/>
              </w:rPr>
            </w:pPr>
            <w:bookmarkStart w:id="33" w:name="_Hlk45005599"/>
            <w:r>
              <w:rPr>
                <w:rFonts w:hint="eastAsia" w:ascii="宋体" w:hAnsi="宋体" w:cs="宋体"/>
                <w:b/>
                <w:bCs/>
                <w:sz w:val="21"/>
                <w:szCs w:val="21"/>
              </w:rPr>
              <w:t>序号</w:t>
            </w:r>
          </w:p>
        </w:tc>
        <w:tc>
          <w:tcPr>
            <w:tcW w:w="3256" w:type="dxa"/>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政策名称</w:t>
            </w:r>
          </w:p>
        </w:tc>
        <w:tc>
          <w:tcPr>
            <w:tcW w:w="5529" w:type="dxa"/>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708" w:type="dxa"/>
            <w:vAlign w:val="center"/>
          </w:tcPr>
          <w:p>
            <w:pPr>
              <w:adjustRightInd w:val="0"/>
              <w:snapToGrid w:val="0"/>
              <w:spacing w:line="288" w:lineRule="auto"/>
              <w:jc w:val="center"/>
              <w:rPr>
                <w:rFonts w:ascii="宋体" w:hAnsi="宋体" w:cs="宋体"/>
                <w:b/>
                <w:bCs/>
                <w:sz w:val="21"/>
                <w:szCs w:val="21"/>
              </w:rPr>
            </w:pPr>
            <w:r>
              <w:rPr>
                <w:rFonts w:hint="eastAsia" w:ascii="宋体" w:hAnsi="宋体" w:cs="宋体"/>
                <w:sz w:val="21"/>
                <w:szCs w:val="21"/>
              </w:rPr>
              <w:t>1</w:t>
            </w:r>
          </w:p>
        </w:tc>
        <w:tc>
          <w:tcPr>
            <w:tcW w:w="3256" w:type="dxa"/>
            <w:vAlign w:val="center"/>
          </w:tcPr>
          <w:p>
            <w:pPr>
              <w:adjustRightInd w:val="0"/>
              <w:snapToGrid w:val="0"/>
              <w:spacing w:line="288" w:lineRule="auto"/>
              <w:jc w:val="left"/>
              <w:rPr>
                <w:rFonts w:ascii="宋体" w:hAnsi="宋体" w:cs="宋体"/>
                <w:b/>
                <w:bCs/>
                <w:sz w:val="21"/>
                <w:szCs w:val="21"/>
              </w:rPr>
            </w:pPr>
            <w:r>
              <w:rPr>
                <w:rFonts w:hint="eastAsia" w:ascii="宋体" w:hAnsi="宋体" w:cs="宋体"/>
                <w:sz w:val="21"/>
                <w:szCs w:val="21"/>
              </w:rPr>
              <w:t>政府采购进口产品</w:t>
            </w:r>
          </w:p>
        </w:tc>
        <w:tc>
          <w:tcPr>
            <w:tcW w:w="5529" w:type="dxa"/>
            <w:vAlign w:val="center"/>
          </w:tcPr>
          <w:p>
            <w:pPr>
              <w:adjustRightInd w:val="0"/>
              <w:snapToGrid w:val="0"/>
              <w:spacing w:line="288" w:lineRule="auto"/>
              <w:jc w:val="left"/>
              <w:rPr>
                <w:rFonts w:ascii="宋体" w:hAnsi="宋体" w:cs="宋体"/>
                <w:b/>
                <w:bCs/>
                <w:sz w:val="21"/>
                <w:szCs w:val="21"/>
              </w:rPr>
            </w:pPr>
            <w:r>
              <w:rPr>
                <w:rFonts w:hint="eastAsia" w:ascii="宋体" w:hAnsi="宋体" w:cs="宋体"/>
                <w:sz w:val="21"/>
                <w:szCs w:val="21"/>
              </w:rPr>
              <w:t>不适用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708" w:type="dxa"/>
            <w:vAlign w:val="center"/>
          </w:tcPr>
          <w:p>
            <w:pPr>
              <w:adjustRightInd w:val="0"/>
              <w:snapToGrid w:val="0"/>
              <w:spacing w:line="288" w:lineRule="auto"/>
              <w:jc w:val="center"/>
              <w:rPr>
                <w:rFonts w:ascii="宋体" w:hAnsi="宋体" w:cs="宋体"/>
                <w:b/>
                <w:bCs/>
                <w:sz w:val="21"/>
                <w:szCs w:val="21"/>
              </w:rPr>
            </w:pPr>
            <w:r>
              <w:rPr>
                <w:rFonts w:hint="eastAsia" w:ascii="宋体" w:hAnsi="宋体" w:cs="宋体"/>
                <w:sz w:val="21"/>
                <w:szCs w:val="21"/>
              </w:rPr>
              <w:t>2</w:t>
            </w:r>
          </w:p>
        </w:tc>
        <w:tc>
          <w:tcPr>
            <w:tcW w:w="3256" w:type="dxa"/>
            <w:vAlign w:val="center"/>
          </w:tcPr>
          <w:p>
            <w:pPr>
              <w:adjustRightInd w:val="0"/>
              <w:snapToGrid w:val="0"/>
              <w:spacing w:line="288" w:lineRule="auto"/>
              <w:jc w:val="left"/>
              <w:rPr>
                <w:rFonts w:ascii="宋体" w:hAnsi="宋体" w:cs="宋体"/>
                <w:b/>
                <w:bCs/>
                <w:sz w:val="21"/>
                <w:szCs w:val="21"/>
              </w:rPr>
            </w:pPr>
            <w:r>
              <w:rPr>
                <w:rFonts w:hint="eastAsia" w:ascii="宋体" w:hAnsi="宋体" w:cs="宋体"/>
                <w:sz w:val="21"/>
                <w:szCs w:val="21"/>
              </w:rPr>
              <w:t>政府强制采购节能产品</w:t>
            </w:r>
          </w:p>
        </w:tc>
        <w:tc>
          <w:tcPr>
            <w:tcW w:w="5529" w:type="dxa"/>
            <w:vAlign w:val="center"/>
          </w:tcPr>
          <w:p>
            <w:pPr>
              <w:adjustRightInd w:val="0"/>
              <w:snapToGrid w:val="0"/>
              <w:spacing w:line="288" w:lineRule="auto"/>
              <w:jc w:val="left"/>
              <w:rPr>
                <w:rFonts w:ascii="宋体" w:hAnsi="宋体" w:cs="宋体"/>
                <w:b/>
                <w:bCs/>
                <w:sz w:val="21"/>
                <w:szCs w:val="21"/>
              </w:rPr>
            </w:pPr>
            <w:r>
              <w:rPr>
                <w:rFonts w:hint="eastAsia" w:ascii="宋体" w:hAnsi="宋体" w:cs="宋体"/>
                <w:sz w:val="21"/>
                <w:szCs w:val="21"/>
              </w:rPr>
              <w:t>不适用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708" w:type="dxa"/>
            <w:vAlign w:val="center"/>
          </w:tcPr>
          <w:p>
            <w:pPr>
              <w:adjustRightInd w:val="0"/>
              <w:snapToGrid w:val="0"/>
              <w:spacing w:line="288" w:lineRule="auto"/>
              <w:jc w:val="center"/>
              <w:rPr>
                <w:rFonts w:ascii="宋体" w:hAnsi="宋体" w:cs="宋体"/>
                <w:b/>
                <w:bCs/>
                <w:sz w:val="21"/>
                <w:szCs w:val="21"/>
              </w:rPr>
            </w:pPr>
            <w:r>
              <w:rPr>
                <w:rFonts w:hint="eastAsia" w:ascii="宋体" w:hAnsi="宋体" w:cs="宋体"/>
                <w:sz w:val="21"/>
                <w:szCs w:val="21"/>
              </w:rPr>
              <w:t>3</w:t>
            </w:r>
          </w:p>
        </w:tc>
        <w:tc>
          <w:tcPr>
            <w:tcW w:w="3256" w:type="dxa"/>
            <w:vAlign w:val="center"/>
          </w:tcPr>
          <w:p>
            <w:pPr>
              <w:adjustRightInd w:val="0"/>
              <w:snapToGrid w:val="0"/>
              <w:spacing w:line="288" w:lineRule="auto"/>
              <w:jc w:val="left"/>
              <w:rPr>
                <w:rFonts w:ascii="宋体" w:hAnsi="宋体" w:cs="宋体"/>
                <w:b/>
                <w:bCs/>
                <w:sz w:val="21"/>
                <w:szCs w:val="21"/>
              </w:rPr>
            </w:pPr>
            <w:r>
              <w:rPr>
                <w:rFonts w:hint="eastAsia" w:ascii="宋体" w:hAnsi="宋体" w:cs="宋体"/>
                <w:sz w:val="21"/>
                <w:szCs w:val="21"/>
              </w:rPr>
              <w:t>政府优先采购节能、环保产品</w:t>
            </w:r>
          </w:p>
        </w:tc>
        <w:tc>
          <w:tcPr>
            <w:tcW w:w="5529" w:type="dxa"/>
            <w:vAlign w:val="center"/>
          </w:tcPr>
          <w:p>
            <w:pPr>
              <w:adjustRightInd w:val="0"/>
              <w:snapToGrid w:val="0"/>
              <w:spacing w:line="288" w:lineRule="auto"/>
              <w:jc w:val="left"/>
              <w:rPr>
                <w:rFonts w:ascii="宋体" w:hAnsi="宋体" w:cs="宋体"/>
                <w:b/>
                <w:bCs/>
                <w:sz w:val="21"/>
                <w:szCs w:val="21"/>
              </w:rPr>
            </w:pPr>
            <w:r>
              <w:rPr>
                <w:rFonts w:hint="eastAsia" w:ascii="宋体" w:hAnsi="宋体" w:cs="宋体"/>
                <w:sz w:val="21"/>
                <w:szCs w:val="21"/>
              </w:rPr>
              <w:t>不适用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708" w:type="dxa"/>
            <w:vAlign w:val="center"/>
          </w:tcPr>
          <w:p>
            <w:pPr>
              <w:adjustRightInd w:val="0"/>
              <w:snapToGrid w:val="0"/>
              <w:spacing w:line="288" w:lineRule="auto"/>
              <w:jc w:val="center"/>
              <w:rPr>
                <w:rFonts w:ascii="宋体" w:hAnsi="宋体" w:cs="宋体"/>
                <w:sz w:val="21"/>
                <w:szCs w:val="21"/>
              </w:rPr>
            </w:pPr>
            <w:r>
              <w:rPr>
                <w:rFonts w:hint="eastAsia" w:ascii="宋体" w:hAnsi="宋体" w:cs="宋体"/>
                <w:sz w:val="21"/>
                <w:szCs w:val="21"/>
              </w:rPr>
              <w:t>4</w:t>
            </w:r>
          </w:p>
        </w:tc>
        <w:tc>
          <w:tcPr>
            <w:tcW w:w="3256" w:type="dxa"/>
            <w:vAlign w:val="center"/>
          </w:tcPr>
          <w:p>
            <w:pPr>
              <w:adjustRightInd w:val="0"/>
              <w:snapToGrid w:val="0"/>
              <w:spacing w:line="288" w:lineRule="auto"/>
              <w:jc w:val="left"/>
              <w:rPr>
                <w:rFonts w:ascii="宋体" w:hAnsi="宋体" w:cs="宋体"/>
                <w:sz w:val="21"/>
                <w:szCs w:val="16"/>
              </w:rPr>
            </w:pPr>
            <w:r>
              <w:rPr>
                <w:rFonts w:hint="eastAsia" w:ascii="宋体" w:hAnsi="宋体" w:cs="宋体"/>
                <w:sz w:val="21"/>
                <w:szCs w:val="16"/>
              </w:rPr>
              <w:t>政府采购支持科技创新</w:t>
            </w:r>
          </w:p>
        </w:tc>
        <w:tc>
          <w:tcPr>
            <w:tcW w:w="5529" w:type="dxa"/>
            <w:vAlign w:val="center"/>
          </w:tcPr>
          <w:p>
            <w:pPr>
              <w:adjustRightInd w:val="0"/>
              <w:snapToGrid w:val="0"/>
              <w:spacing w:line="288" w:lineRule="auto"/>
              <w:jc w:val="left"/>
              <w:rPr>
                <w:rFonts w:ascii="宋体" w:hAnsi="宋体" w:cs="宋体"/>
                <w:sz w:val="21"/>
                <w:szCs w:val="16"/>
              </w:rPr>
            </w:pPr>
            <w:r>
              <w:rPr>
                <w:rFonts w:hint="eastAsia" w:ascii="宋体" w:hAnsi="宋体" w:cs="宋体"/>
                <w:sz w:val="21"/>
                <w:szCs w:val="16"/>
              </w:rPr>
              <w:t>提供材料详见招标文件第六章“商务和技术文件”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708" w:type="dxa"/>
            <w:vAlign w:val="center"/>
          </w:tcPr>
          <w:p>
            <w:pPr>
              <w:adjustRightInd w:val="0"/>
              <w:snapToGrid w:val="0"/>
              <w:spacing w:line="288" w:lineRule="auto"/>
              <w:jc w:val="center"/>
              <w:rPr>
                <w:rFonts w:ascii="宋体" w:hAnsi="宋体" w:cs="宋体"/>
                <w:b/>
                <w:bCs/>
                <w:sz w:val="21"/>
                <w:szCs w:val="21"/>
              </w:rPr>
            </w:pPr>
            <w:r>
              <w:rPr>
                <w:rFonts w:hint="eastAsia" w:ascii="宋体" w:hAnsi="宋体" w:cs="宋体"/>
                <w:sz w:val="21"/>
                <w:szCs w:val="21"/>
              </w:rPr>
              <w:t>5</w:t>
            </w:r>
          </w:p>
        </w:tc>
        <w:tc>
          <w:tcPr>
            <w:tcW w:w="3256" w:type="dxa"/>
            <w:vAlign w:val="center"/>
          </w:tcPr>
          <w:p>
            <w:pPr>
              <w:adjustRightInd w:val="0"/>
              <w:snapToGrid w:val="0"/>
              <w:spacing w:line="288" w:lineRule="auto"/>
              <w:jc w:val="left"/>
              <w:rPr>
                <w:rFonts w:ascii="宋体" w:hAnsi="宋体" w:cs="宋体"/>
                <w:sz w:val="21"/>
                <w:szCs w:val="21"/>
              </w:rPr>
            </w:pPr>
            <w:r>
              <w:rPr>
                <w:rFonts w:hint="eastAsia" w:ascii="宋体" w:hAnsi="宋体" w:cs="宋体"/>
                <w:sz w:val="21"/>
                <w:szCs w:val="21"/>
              </w:rPr>
              <w:t>政府采购促进中小企业发展</w:t>
            </w:r>
          </w:p>
        </w:tc>
        <w:tc>
          <w:tcPr>
            <w:tcW w:w="5529" w:type="dxa"/>
            <w:vAlign w:val="center"/>
          </w:tcPr>
          <w:p>
            <w:pPr>
              <w:adjustRightInd w:val="0"/>
              <w:snapToGrid w:val="0"/>
              <w:spacing w:line="288" w:lineRule="auto"/>
              <w:jc w:val="left"/>
              <w:rPr>
                <w:rFonts w:ascii="宋体" w:hAnsi="宋体" w:cs="宋体"/>
                <w:sz w:val="21"/>
                <w:szCs w:val="21"/>
              </w:rPr>
            </w:pPr>
            <w:r>
              <w:rPr>
                <w:rFonts w:hint="eastAsia" w:ascii="宋体" w:hAnsi="宋体" w:cs="宋体"/>
                <w:sz w:val="21"/>
                <w:szCs w:val="21"/>
              </w:rPr>
              <w:t>提供材料详见招标文件第六章“资格文件”</w:t>
            </w:r>
          </w:p>
          <w:p>
            <w:pPr>
              <w:adjustRightInd w:val="0"/>
              <w:snapToGrid w:val="0"/>
              <w:spacing w:line="288" w:lineRule="auto"/>
              <w:jc w:val="left"/>
              <w:rPr>
                <w:rFonts w:ascii="宋体" w:hAnsi="宋体"/>
                <w:b/>
                <w:bCs/>
                <w:sz w:val="21"/>
                <w:szCs w:val="21"/>
              </w:rPr>
            </w:pPr>
            <w:r>
              <w:rPr>
                <w:rFonts w:hint="eastAsia" w:ascii="宋体" w:hAnsi="宋体"/>
                <w:b/>
                <w:bCs/>
                <w:sz w:val="21"/>
                <w:szCs w:val="21"/>
              </w:rPr>
              <w:t>本项目属性为：服务</w:t>
            </w:r>
          </w:p>
          <w:p>
            <w:pPr>
              <w:adjustRightInd w:val="0"/>
              <w:snapToGrid w:val="0"/>
              <w:spacing w:line="288" w:lineRule="auto"/>
              <w:jc w:val="left"/>
              <w:rPr>
                <w:rFonts w:ascii="宋体" w:hAnsi="宋体"/>
                <w:b/>
                <w:bCs/>
                <w:sz w:val="21"/>
                <w:szCs w:val="21"/>
              </w:rPr>
            </w:pPr>
            <w:r>
              <w:rPr>
                <w:rFonts w:hint="eastAsia" w:ascii="宋体" w:hAnsi="宋体"/>
                <w:b/>
                <w:bCs/>
                <w:sz w:val="21"/>
                <w:szCs w:val="21"/>
              </w:rPr>
              <w:t>采购标的对应的中小企业划分标准所属行业：物业管理</w:t>
            </w:r>
          </w:p>
          <w:p>
            <w:pPr>
              <w:adjustRightInd w:val="0"/>
              <w:snapToGrid w:val="0"/>
              <w:spacing w:line="288" w:lineRule="auto"/>
              <w:jc w:val="left"/>
              <w:rPr>
                <w:rFonts w:ascii="宋体" w:hAnsi="宋体" w:cs="宋体"/>
                <w:b/>
                <w:bCs/>
                <w:sz w:val="21"/>
                <w:szCs w:val="21"/>
              </w:rPr>
            </w:pPr>
            <w:r>
              <w:rPr>
                <w:rFonts w:hint="eastAsia" w:ascii="宋体" w:hAnsi="宋体"/>
                <w:b/>
                <w:bCs/>
                <w:sz w:val="21"/>
                <w:szCs w:val="21"/>
              </w:rPr>
              <w:t>中小企业划型标准：从业人员1000人以下或营业收入5000万元以下的为中小微型企业。其中，从业人员300人及以上，且营业收入1000万元及以上的为中型企业；从业人员100人及以上，且营业收入500万元及以上的为小型企业；从业人员100人以下或营业收入500万元以下的为微型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708" w:type="dxa"/>
            <w:vAlign w:val="center"/>
          </w:tcPr>
          <w:p>
            <w:pPr>
              <w:adjustRightInd w:val="0"/>
              <w:snapToGrid w:val="0"/>
              <w:spacing w:line="288" w:lineRule="auto"/>
              <w:jc w:val="center"/>
              <w:rPr>
                <w:rFonts w:ascii="宋体" w:hAnsi="宋体" w:cs="宋体"/>
                <w:sz w:val="21"/>
                <w:szCs w:val="21"/>
              </w:rPr>
            </w:pPr>
            <w:r>
              <w:rPr>
                <w:rFonts w:hint="eastAsia" w:ascii="宋体" w:hAnsi="宋体" w:cs="宋体"/>
                <w:sz w:val="21"/>
                <w:szCs w:val="21"/>
              </w:rPr>
              <w:t>6</w:t>
            </w:r>
          </w:p>
        </w:tc>
        <w:tc>
          <w:tcPr>
            <w:tcW w:w="3256" w:type="dxa"/>
            <w:vAlign w:val="center"/>
          </w:tcPr>
          <w:p>
            <w:pPr>
              <w:adjustRightInd w:val="0"/>
              <w:snapToGrid w:val="0"/>
              <w:spacing w:line="288" w:lineRule="auto"/>
              <w:jc w:val="left"/>
              <w:rPr>
                <w:rFonts w:ascii="宋体" w:hAnsi="宋体" w:cs="宋体"/>
                <w:sz w:val="21"/>
                <w:szCs w:val="21"/>
              </w:rPr>
            </w:pPr>
            <w:r>
              <w:rPr>
                <w:rFonts w:hint="eastAsia" w:ascii="宋体" w:hAnsi="宋体" w:cs="宋体"/>
                <w:sz w:val="21"/>
                <w:szCs w:val="21"/>
              </w:rPr>
              <w:t>政府采购支持监狱企业发展</w:t>
            </w:r>
          </w:p>
        </w:tc>
        <w:tc>
          <w:tcPr>
            <w:tcW w:w="5529" w:type="dxa"/>
            <w:vAlign w:val="center"/>
          </w:tcPr>
          <w:p>
            <w:pPr>
              <w:adjustRightInd w:val="0"/>
              <w:snapToGrid w:val="0"/>
              <w:spacing w:line="288" w:lineRule="auto"/>
              <w:jc w:val="left"/>
              <w:rPr>
                <w:rFonts w:ascii="宋体" w:hAnsi="宋体"/>
                <w:b/>
                <w:bCs/>
                <w:sz w:val="21"/>
                <w:szCs w:val="21"/>
              </w:rPr>
            </w:pPr>
            <w:r>
              <w:rPr>
                <w:rFonts w:hint="eastAsia" w:ascii="宋体" w:hAnsi="宋体" w:cs="宋体"/>
                <w:sz w:val="21"/>
                <w:szCs w:val="21"/>
              </w:rPr>
              <w:t>提供材料详见招标文件第六章“资格文件”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708" w:type="dxa"/>
            <w:vAlign w:val="center"/>
          </w:tcPr>
          <w:p>
            <w:pPr>
              <w:adjustRightInd w:val="0"/>
              <w:snapToGrid w:val="0"/>
              <w:spacing w:line="288" w:lineRule="auto"/>
              <w:jc w:val="center"/>
              <w:rPr>
                <w:rFonts w:ascii="宋体" w:hAnsi="宋体" w:cs="宋体"/>
                <w:sz w:val="21"/>
                <w:szCs w:val="21"/>
              </w:rPr>
            </w:pPr>
            <w:r>
              <w:rPr>
                <w:rFonts w:hint="eastAsia" w:ascii="宋体" w:hAnsi="宋体" w:cs="宋体"/>
                <w:sz w:val="21"/>
                <w:szCs w:val="21"/>
              </w:rPr>
              <w:t>7</w:t>
            </w:r>
          </w:p>
        </w:tc>
        <w:tc>
          <w:tcPr>
            <w:tcW w:w="3256" w:type="dxa"/>
            <w:vAlign w:val="center"/>
          </w:tcPr>
          <w:p>
            <w:pPr>
              <w:adjustRightInd w:val="0"/>
              <w:snapToGrid w:val="0"/>
              <w:spacing w:line="288" w:lineRule="auto"/>
              <w:jc w:val="left"/>
              <w:rPr>
                <w:rFonts w:ascii="宋体" w:hAnsi="宋体" w:cs="宋体"/>
                <w:sz w:val="21"/>
                <w:szCs w:val="21"/>
              </w:rPr>
            </w:pPr>
            <w:r>
              <w:rPr>
                <w:rFonts w:hint="eastAsia" w:ascii="宋体" w:hAnsi="宋体" w:cs="宋体"/>
                <w:sz w:val="21"/>
                <w:szCs w:val="21"/>
              </w:rPr>
              <w:t>政府采购促进残疾人就业</w:t>
            </w:r>
          </w:p>
        </w:tc>
        <w:tc>
          <w:tcPr>
            <w:tcW w:w="5529" w:type="dxa"/>
            <w:vAlign w:val="center"/>
          </w:tcPr>
          <w:p>
            <w:pPr>
              <w:adjustRightInd w:val="0"/>
              <w:snapToGrid w:val="0"/>
              <w:spacing w:line="288" w:lineRule="auto"/>
              <w:jc w:val="left"/>
              <w:rPr>
                <w:rFonts w:ascii="宋体" w:hAnsi="宋体" w:cs="宋体"/>
                <w:sz w:val="21"/>
                <w:szCs w:val="21"/>
              </w:rPr>
            </w:pPr>
            <w:r>
              <w:rPr>
                <w:rFonts w:hint="eastAsia" w:ascii="宋体" w:hAnsi="宋体" w:cs="宋体"/>
                <w:sz w:val="21"/>
                <w:szCs w:val="21"/>
              </w:rPr>
              <w:t>提供材料详见招标文件第六章“资格文件”</w:t>
            </w:r>
          </w:p>
        </w:tc>
      </w:tr>
      <w:bookmarkEnd w:id="33"/>
    </w:tbl>
    <w:p>
      <w:pPr>
        <w:adjustRightInd w:val="0"/>
        <w:snapToGrid w:val="0"/>
        <w:spacing w:line="288" w:lineRule="auto"/>
        <w:rPr>
          <w:rFonts w:ascii="宋体" w:hAnsi="宋体"/>
          <w:sz w:val="21"/>
          <w:szCs w:val="21"/>
        </w:rPr>
      </w:pPr>
    </w:p>
    <w:p>
      <w:pPr>
        <w:adjustRightInd w:val="0"/>
        <w:snapToGrid w:val="0"/>
        <w:spacing w:line="288" w:lineRule="auto"/>
        <w:outlineLvl w:val="1"/>
        <w:rPr>
          <w:rFonts w:ascii="宋体" w:hAnsi="宋体"/>
          <w:b/>
          <w:sz w:val="21"/>
          <w:szCs w:val="21"/>
          <w:highlight w:val="yellow"/>
        </w:rPr>
      </w:pPr>
      <w:r>
        <w:rPr>
          <w:rFonts w:hint="eastAsia" w:ascii="宋体" w:hAnsi="宋体"/>
          <w:b/>
          <w:sz w:val="21"/>
          <w:szCs w:val="21"/>
        </w:rPr>
        <w:t>二</w:t>
      </w:r>
      <w:r>
        <w:rPr>
          <w:rFonts w:ascii="宋体" w:hAnsi="宋体"/>
          <w:b/>
          <w:sz w:val="21"/>
          <w:szCs w:val="21"/>
        </w:rPr>
        <w:t>、</w:t>
      </w:r>
      <w:r>
        <w:rPr>
          <w:rFonts w:hint="eastAsia" w:ascii="宋体" w:hAnsi="宋体"/>
          <w:b/>
          <w:sz w:val="21"/>
          <w:szCs w:val="21"/>
        </w:rPr>
        <w:t>采购资金的支付方式、时间、条件：</w:t>
      </w:r>
    </w:p>
    <w:tbl>
      <w:tblPr>
        <w:tblStyle w:val="24"/>
        <w:tblW w:w="9493" w:type="dxa"/>
        <w:tblInd w:w="-5"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843"/>
        <w:gridCol w:w="765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561" w:hRule="atLeast"/>
        </w:trPr>
        <w:tc>
          <w:tcPr>
            <w:tcW w:w="184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b/>
                <w:spacing w:val="-6"/>
                <w:sz w:val="21"/>
                <w:szCs w:val="21"/>
              </w:rPr>
            </w:pPr>
            <w:bookmarkStart w:id="34" w:name="_Hlk45005608"/>
            <w:r>
              <w:rPr>
                <w:rFonts w:hint="eastAsia" w:ascii="宋体" w:hAnsi="宋体"/>
                <w:b/>
                <w:spacing w:val="-6"/>
                <w:sz w:val="21"/>
                <w:szCs w:val="21"/>
              </w:rPr>
              <w:t>▲履约保证金</w:t>
            </w:r>
          </w:p>
        </w:tc>
        <w:tc>
          <w:tcPr>
            <w:tcW w:w="765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rPr>
                <w:rFonts w:ascii="宋体" w:hAnsi="宋体" w:cs="宋体"/>
                <w:spacing w:val="-6"/>
                <w:kern w:val="0"/>
                <w:sz w:val="21"/>
                <w:szCs w:val="21"/>
              </w:rPr>
            </w:pPr>
            <w:r>
              <w:rPr>
                <w:rFonts w:hint="eastAsia" w:ascii="宋体" w:hAnsi="宋体" w:cs="宋体"/>
                <w:spacing w:val="-6"/>
                <w:kern w:val="0"/>
                <w:sz w:val="21"/>
                <w:szCs w:val="21"/>
              </w:rPr>
              <w:t>1.合同签订后一周内，中标人向采购人提交合同总价</w:t>
            </w:r>
            <w:r>
              <w:rPr>
                <w:rFonts w:hint="eastAsia" w:ascii="宋体" w:hAnsi="宋体" w:cs="宋体"/>
                <w:spacing w:val="-6"/>
                <w:kern w:val="0"/>
                <w:sz w:val="21"/>
                <w:szCs w:val="21"/>
                <w:lang w:val="en-US" w:eastAsia="zh-CN"/>
              </w:rPr>
              <w:t>5</w:t>
            </w:r>
            <w:r>
              <w:rPr>
                <w:rFonts w:hint="eastAsia" w:ascii="宋体" w:hAnsi="宋体" w:cs="宋体"/>
                <w:spacing w:val="-6"/>
                <w:kern w:val="0"/>
                <w:sz w:val="21"/>
                <w:szCs w:val="21"/>
              </w:rPr>
              <w:t>%的履约保证金，履约保证金在合同履约期间无违约情形的，项目验收结束后，于一周内退还（不计息）；</w:t>
            </w:r>
          </w:p>
          <w:p>
            <w:pPr>
              <w:adjustRightInd w:val="0"/>
              <w:snapToGrid w:val="0"/>
              <w:spacing w:line="288" w:lineRule="auto"/>
              <w:rPr>
                <w:rFonts w:ascii="宋体" w:hAnsi="宋体" w:cs="宋体"/>
                <w:spacing w:val="-6"/>
                <w:kern w:val="0"/>
                <w:sz w:val="21"/>
                <w:szCs w:val="21"/>
              </w:rPr>
            </w:pPr>
            <w:r>
              <w:rPr>
                <w:rFonts w:hint="eastAsia" w:ascii="宋体" w:hAnsi="宋体" w:cs="宋体"/>
                <w:spacing w:val="-6"/>
                <w:kern w:val="0"/>
                <w:sz w:val="21"/>
                <w:szCs w:val="21"/>
              </w:rPr>
              <w:t>2.提交方式：支票、汇票、本票或金融机构、担保机构出具的保函等非现金形式。</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184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b/>
                <w:spacing w:val="-6"/>
                <w:sz w:val="21"/>
                <w:szCs w:val="21"/>
              </w:rPr>
            </w:pPr>
            <w:r>
              <w:rPr>
                <w:rFonts w:hint="eastAsia" w:ascii="宋体" w:hAnsi="宋体"/>
                <w:b/>
                <w:spacing w:val="-6"/>
                <w:sz w:val="21"/>
                <w:szCs w:val="21"/>
              </w:rPr>
              <w:t>▲付款方式</w:t>
            </w:r>
          </w:p>
        </w:tc>
        <w:tc>
          <w:tcPr>
            <w:tcW w:w="7650"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napToGrid w:val="0"/>
              <w:spacing w:line="288" w:lineRule="auto"/>
              <w:jc w:val="left"/>
              <w:rPr>
                <w:rFonts w:ascii="宋体" w:hAnsi="宋体" w:cs="宋体"/>
                <w:spacing w:val="-6"/>
                <w:kern w:val="0"/>
                <w:sz w:val="21"/>
                <w:szCs w:val="21"/>
              </w:rPr>
            </w:pPr>
            <w:r>
              <w:rPr>
                <w:rFonts w:hint="eastAsia" w:ascii="宋体" w:hAnsi="宋体" w:cs="宋体"/>
                <w:spacing w:val="-6"/>
                <w:kern w:val="0"/>
                <w:sz w:val="21"/>
                <w:szCs w:val="21"/>
              </w:rPr>
              <w:t>按季支付，自物业服务开始当月计算，每季末采购人向中标人支付当季费用。</w:t>
            </w:r>
          </w:p>
        </w:tc>
      </w:tr>
      <w:bookmarkEnd w:id="34"/>
    </w:tbl>
    <w:p>
      <w:pPr>
        <w:adjustRightInd w:val="0"/>
        <w:snapToGrid w:val="0"/>
        <w:spacing w:line="288" w:lineRule="auto"/>
        <w:rPr>
          <w:rFonts w:ascii="宋体" w:hAnsi="宋体"/>
          <w:b/>
          <w:sz w:val="21"/>
          <w:szCs w:val="21"/>
        </w:rPr>
      </w:pPr>
    </w:p>
    <w:p>
      <w:pPr>
        <w:adjustRightInd w:val="0"/>
        <w:snapToGrid w:val="0"/>
        <w:spacing w:line="288" w:lineRule="auto"/>
        <w:ind w:left="238" w:hanging="238" w:hangingChars="113"/>
        <w:outlineLvl w:val="1"/>
        <w:rPr>
          <w:rFonts w:ascii="宋体" w:hAnsi="宋体"/>
          <w:b/>
          <w:sz w:val="21"/>
          <w:szCs w:val="21"/>
        </w:rPr>
      </w:pPr>
      <w:r>
        <w:rPr>
          <w:rFonts w:hint="eastAsia" w:ascii="宋体" w:hAnsi="宋体"/>
          <w:b/>
          <w:sz w:val="21"/>
          <w:szCs w:val="21"/>
        </w:rPr>
        <w:t>三</w:t>
      </w:r>
      <w:r>
        <w:rPr>
          <w:rFonts w:ascii="宋体" w:hAnsi="宋体"/>
          <w:b/>
          <w:sz w:val="21"/>
          <w:szCs w:val="21"/>
        </w:rPr>
        <w:t>、</w:t>
      </w:r>
      <w:r>
        <w:rPr>
          <w:rFonts w:hint="eastAsia" w:ascii="宋体" w:hAnsi="宋体"/>
          <w:b/>
          <w:sz w:val="21"/>
          <w:szCs w:val="21"/>
        </w:rPr>
        <w:t>服务</w:t>
      </w:r>
      <w:r>
        <w:rPr>
          <w:rFonts w:ascii="宋体" w:hAnsi="宋体"/>
          <w:b/>
          <w:sz w:val="21"/>
          <w:szCs w:val="21"/>
        </w:rPr>
        <w:t>要求：</w:t>
      </w:r>
    </w:p>
    <w:p>
      <w:pPr>
        <w:spacing w:line="288" w:lineRule="auto"/>
        <w:ind w:firstLine="422" w:firstLineChars="200"/>
        <w:rPr>
          <w:rFonts w:ascii="宋体" w:hAnsi="宋体" w:cs="宋体"/>
          <w:b/>
          <w:bCs/>
          <w:sz w:val="21"/>
          <w:szCs w:val="21"/>
        </w:rPr>
      </w:pPr>
      <w:r>
        <w:rPr>
          <w:rFonts w:hint="eastAsia" w:ascii="宋体" w:hAnsi="宋体" w:cs="宋体"/>
          <w:b/>
          <w:bCs/>
          <w:sz w:val="21"/>
          <w:szCs w:val="21"/>
        </w:rPr>
        <w:t>1、主要服务内容</w:t>
      </w:r>
    </w:p>
    <w:p>
      <w:pPr>
        <w:spacing w:line="288" w:lineRule="auto"/>
        <w:ind w:firstLine="422" w:firstLineChars="200"/>
        <w:rPr>
          <w:rFonts w:ascii="宋体" w:hAnsi="宋体" w:cs="宋体"/>
          <w:b/>
          <w:sz w:val="21"/>
          <w:szCs w:val="21"/>
        </w:rPr>
      </w:pPr>
      <w:r>
        <w:rPr>
          <w:rFonts w:hint="eastAsia" w:ascii="宋体" w:hAnsi="宋体" w:cs="宋体"/>
          <w:b/>
          <w:sz w:val="21"/>
          <w:szCs w:val="21"/>
        </w:rPr>
        <w:t>1）物业范围：用地红线范围内，占地面积约40000平方米，含办公楼4座，建筑面积17000平米方；研究生公寓及专家住宅12座，建筑面积约14000平方米。</w:t>
      </w:r>
    </w:p>
    <w:p>
      <w:pPr>
        <w:spacing w:line="288" w:lineRule="auto"/>
        <w:ind w:firstLine="422" w:firstLineChars="200"/>
        <w:rPr>
          <w:rFonts w:ascii="宋体" w:hAnsi="宋体" w:cs="宋体"/>
          <w:b/>
          <w:sz w:val="21"/>
          <w:szCs w:val="21"/>
        </w:rPr>
      </w:pPr>
      <w:r>
        <w:rPr>
          <w:rFonts w:hint="eastAsia" w:ascii="宋体" w:hAnsi="宋体" w:cs="宋体"/>
          <w:b/>
          <w:sz w:val="21"/>
          <w:szCs w:val="21"/>
        </w:rPr>
        <w:t>2）主要服务内容</w:t>
      </w:r>
    </w:p>
    <w:p>
      <w:pPr>
        <w:spacing w:line="288" w:lineRule="auto"/>
        <w:ind w:firstLine="420" w:firstLineChars="200"/>
        <w:rPr>
          <w:rFonts w:ascii="宋体" w:hAnsi="宋体" w:cs="宋体"/>
          <w:sz w:val="21"/>
          <w:szCs w:val="21"/>
        </w:rPr>
      </w:pPr>
      <w:r>
        <w:rPr>
          <w:rFonts w:hint="eastAsia" w:ascii="宋体" w:hAnsi="宋体" w:cs="宋体"/>
          <w:sz w:val="21"/>
          <w:szCs w:val="21"/>
        </w:rPr>
        <w:t>（1）安保：值班室值班及文件收发、所大门人车管理、院区治安管理、院区秩序管理、平安院区建设及其他治安相关；</w:t>
      </w:r>
    </w:p>
    <w:p>
      <w:pPr>
        <w:spacing w:line="288" w:lineRule="auto"/>
        <w:ind w:firstLine="420" w:firstLineChars="200"/>
        <w:rPr>
          <w:rFonts w:ascii="宋体" w:hAnsi="宋体" w:cs="宋体"/>
          <w:sz w:val="21"/>
          <w:szCs w:val="21"/>
        </w:rPr>
      </w:pPr>
      <w:r>
        <w:rPr>
          <w:rFonts w:hint="eastAsia" w:ascii="宋体" w:hAnsi="宋体" w:cs="宋体"/>
          <w:sz w:val="21"/>
          <w:szCs w:val="21"/>
        </w:rPr>
        <w:t>（2）消防：室内、外消防设施设备维护、消控值班、消防设施设备定期巡检、消防应急处理、日常火灾预防及其他消防相关；</w:t>
      </w:r>
    </w:p>
    <w:p>
      <w:pPr>
        <w:spacing w:line="288" w:lineRule="auto"/>
        <w:ind w:firstLine="420" w:firstLineChars="200"/>
        <w:rPr>
          <w:rFonts w:ascii="宋体" w:hAnsi="宋体" w:cs="宋体"/>
          <w:color w:val="auto"/>
          <w:sz w:val="21"/>
          <w:szCs w:val="21"/>
        </w:rPr>
      </w:pPr>
      <w:r>
        <w:rPr>
          <w:rFonts w:hint="eastAsia" w:ascii="宋体" w:hAnsi="宋体" w:cs="宋体"/>
          <w:sz w:val="21"/>
          <w:szCs w:val="21"/>
        </w:rPr>
        <w:t>（3）保洁：办公楼及住宅楼公共区域卫生保洁、院区硬化地面保洁、院区绿地杂物清理、垃圾分类及四</w:t>
      </w:r>
      <w:r>
        <w:rPr>
          <w:rFonts w:hint="eastAsia" w:ascii="宋体" w:hAnsi="宋体" w:cs="宋体"/>
          <w:color w:val="auto"/>
          <w:sz w:val="21"/>
          <w:szCs w:val="21"/>
        </w:rPr>
        <w:t>害防控、楼顶、沟渠清理及其他公共区域卫生相关；</w:t>
      </w:r>
    </w:p>
    <w:p>
      <w:pPr>
        <w:spacing w:line="288" w:lineRule="auto"/>
        <w:ind w:firstLine="420" w:firstLineChars="200"/>
        <w:rPr>
          <w:rFonts w:ascii="宋体" w:hAnsi="宋体" w:cs="宋体"/>
          <w:color w:val="auto"/>
          <w:sz w:val="21"/>
          <w:szCs w:val="21"/>
        </w:rPr>
      </w:pPr>
      <w:r>
        <w:rPr>
          <w:rFonts w:hint="eastAsia" w:ascii="宋体" w:hAnsi="宋体" w:cs="宋体"/>
          <w:color w:val="auto"/>
          <w:sz w:val="21"/>
          <w:szCs w:val="21"/>
        </w:rPr>
        <w:t>（4）会务：会议室保洁、会议设施管护与使用、会议预订与统计、会务服务（会务准备、茶水、话筒等）及其他会务相关。</w:t>
      </w:r>
    </w:p>
    <w:p>
      <w:pPr>
        <w:spacing w:line="288" w:lineRule="auto"/>
        <w:ind w:firstLine="422" w:firstLineChars="200"/>
        <w:rPr>
          <w:rFonts w:hint="eastAsia" w:ascii="宋体" w:hAnsi="宋体" w:cs="宋体"/>
          <w:b/>
          <w:color w:val="auto"/>
          <w:sz w:val="21"/>
          <w:szCs w:val="21"/>
        </w:rPr>
      </w:pPr>
      <w:r>
        <w:rPr>
          <w:rFonts w:hint="eastAsia" w:ascii="宋体" w:hAnsi="宋体" w:cs="宋体"/>
          <w:b/>
          <w:color w:val="auto"/>
          <w:sz w:val="21"/>
          <w:szCs w:val="21"/>
          <w:lang w:val="en-US" w:eastAsia="zh-CN"/>
        </w:rPr>
        <w:t>3）服务期：</w:t>
      </w:r>
      <w:r>
        <w:rPr>
          <w:rFonts w:hint="eastAsia" w:ascii="宋体" w:hAnsi="宋体" w:cs="宋体"/>
          <w:b/>
          <w:color w:val="auto"/>
          <w:sz w:val="21"/>
          <w:szCs w:val="21"/>
        </w:rPr>
        <w:t>合同签订之日起一年，本项目采取一次招标三年沿用，实行一年一考核签订合同的办法</w:t>
      </w:r>
    </w:p>
    <w:p>
      <w:pPr>
        <w:spacing w:line="288" w:lineRule="auto"/>
        <w:ind w:firstLine="422" w:firstLineChars="200"/>
        <w:rPr>
          <w:rFonts w:hint="eastAsia" w:ascii="宋体" w:hAnsi="宋体" w:cs="宋体"/>
          <w:b/>
          <w:sz w:val="21"/>
          <w:szCs w:val="21"/>
        </w:rPr>
      </w:pPr>
      <w:r>
        <w:rPr>
          <w:rFonts w:hint="eastAsia" w:ascii="宋体" w:hAnsi="宋体" w:cs="宋体"/>
          <w:b/>
          <w:color w:val="auto"/>
          <w:sz w:val="21"/>
          <w:szCs w:val="21"/>
          <w:lang w:val="en-US" w:eastAsia="zh-CN"/>
        </w:rPr>
        <w:t>4）</w:t>
      </w:r>
      <w:r>
        <w:rPr>
          <w:rFonts w:hint="eastAsia" w:ascii="宋体" w:hAnsi="宋体" w:cs="宋体"/>
          <w:b/>
          <w:color w:val="auto"/>
          <w:sz w:val="21"/>
          <w:szCs w:val="21"/>
        </w:rPr>
        <w:t>服务地点：采</w:t>
      </w:r>
      <w:r>
        <w:rPr>
          <w:rFonts w:hint="eastAsia" w:ascii="宋体" w:hAnsi="宋体" w:cs="宋体"/>
          <w:b/>
          <w:sz w:val="21"/>
          <w:szCs w:val="21"/>
        </w:rPr>
        <w:t>购人指定地点</w:t>
      </w:r>
    </w:p>
    <w:p>
      <w:pPr>
        <w:spacing w:line="288" w:lineRule="auto"/>
        <w:ind w:firstLine="422" w:firstLineChars="200"/>
        <w:rPr>
          <w:rFonts w:ascii="宋体" w:hAnsi="宋体" w:cs="宋体"/>
          <w:b/>
          <w:sz w:val="21"/>
          <w:szCs w:val="21"/>
        </w:rPr>
      </w:pPr>
      <w:r>
        <w:rPr>
          <w:rFonts w:hint="eastAsia" w:ascii="宋体" w:hAnsi="宋体" w:cs="宋体"/>
          <w:b/>
          <w:sz w:val="21"/>
          <w:szCs w:val="21"/>
        </w:rPr>
        <w:t>2、服务范围</w:t>
      </w:r>
    </w:p>
    <w:p>
      <w:pPr>
        <w:spacing w:line="288" w:lineRule="auto"/>
        <w:ind w:firstLine="422" w:firstLineChars="200"/>
        <w:rPr>
          <w:rFonts w:ascii="宋体" w:hAnsi="宋体" w:cs="宋体"/>
          <w:b/>
          <w:sz w:val="21"/>
          <w:szCs w:val="21"/>
        </w:rPr>
      </w:pPr>
      <w:r>
        <w:rPr>
          <w:rFonts w:hint="eastAsia" w:ascii="宋体" w:hAnsi="宋体" w:cs="宋体"/>
          <w:b/>
          <w:sz w:val="21"/>
          <w:szCs w:val="21"/>
        </w:rPr>
        <w:t>物业外包服务报价包含除重要设施设备维修、保养及厕纸等保洁消耗品之外的所有相关费用。</w:t>
      </w:r>
    </w:p>
    <w:p>
      <w:pPr>
        <w:spacing w:line="288" w:lineRule="auto"/>
        <w:ind w:firstLine="396" w:firstLineChars="200"/>
        <w:rPr>
          <w:rFonts w:ascii="宋体" w:hAnsi="宋体" w:cs="宋体"/>
          <w:b/>
          <w:sz w:val="21"/>
          <w:szCs w:val="21"/>
        </w:rPr>
      </w:pPr>
      <w:r>
        <w:rPr>
          <w:rFonts w:hint="eastAsia" w:ascii="宋体" w:hAnsi="宋体"/>
          <w:spacing w:val="-6"/>
          <w:sz w:val="21"/>
          <w:szCs w:val="21"/>
        </w:rPr>
        <w:t>▲</w:t>
      </w:r>
      <w:r>
        <w:rPr>
          <w:rFonts w:hint="eastAsia" w:ascii="宋体" w:hAnsi="宋体" w:cs="宋体"/>
          <w:b/>
          <w:sz w:val="21"/>
          <w:szCs w:val="21"/>
        </w:rPr>
        <w:t>3、物业服务具体内容及技术要求</w:t>
      </w:r>
    </w:p>
    <w:p>
      <w:pPr>
        <w:spacing w:line="288" w:lineRule="auto"/>
        <w:ind w:firstLine="422" w:firstLineChars="200"/>
        <w:rPr>
          <w:rFonts w:ascii="宋体" w:hAnsi="宋体" w:cs="宋体"/>
          <w:b/>
          <w:sz w:val="21"/>
          <w:szCs w:val="21"/>
        </w:rPr>
      </w:pPr>
      <w:r>
        <w:rPr>
          <w:rFonts w:hint="eastAsia" w:ascii="宋体" w:hAnsi="宋体" w:cs="宋体"/>
          <w:b/>
          <w:sz w:val="21"/>
          <w:szCs w:val="21"/>
        </w:rPr>
        <w:t>物业服务主要涉及治安与秩序、消防、保洁和会务等四方面，服务企业应制定相应综合与专项管理与服务制度，各项日常工作履职应设台账备查。台账至少在服务期内保存完好。在岗人员应统一分类着装，佩戴胸牌，标识明晰。</w:t>
      </w:r>
    </w:p>
    <w:p>
      <w:pPr>
        <w:spacing w:line="288" w:lineRule="auto"/>
        <w:ind w:firstLine="422" w:firstLineChars="200"/>
        <w:rPr>
          <w:rFonts w:ascii="宋体" w:hAnsi="宋体" w:cs="宋体"/>
          <w:b/>
          <w:sz w:val="21"/>
          <w:szCs w:val="21"/>
        </w:rPr>
      </w:pPr>
      <w:r>
        <w:rPr>
          <w:rFonts w:hint="eastAsia" w:ascii="宋体" w:hAnsi="宋体" w:cs="宋体"/>
          <w:b/>
          <w:sz w:val="21"/>
          <w:szCs w:val="21"/>
        </w:rPr>
        <w:t>1）治安与秩序等管理服务</w:t>
      </w:r>
    </w:p>
    <w:p>
      <w:pPr>
        <w:spacing w:line="288" w:lineRule="auto"/>
        <w:ind w:firstLine="420" w:firstLineChars="200"/>
        <w:rPr>
          <w:rFonts w:ascii="宋体" w:hAnsi="宋体" w:cs="宋体"/>
          <w:sz w:val="21"/>
          <w:szCs w:val="21"/>
        </w:rPr>
      </w:pPr>
      <w:r>
        <w:rPr>
          <w:rFonts w:hint="eastAsia" w:ascii="宋体" w:hAnsi="宋体" w:cs="宋体"/>
          <w:sz w:val="21"/>
          <w:szCs w:val="21"/>
        </w:rPr>
        <w:t>（1）人员基本要求</w:t>
      </w:r>
    </w:p>
    <w:p>
      <w:pPr>
        <w:spacing w:line="288" w:lineRule="auto"/>
        <w:ind w:firstLine="420" w:firstLineChars="200"/>
        <w:rPr>
          <w:rFonts w:ascii="宋体" w:hAnsi="宋体" w:cs="宋体"/>
          <w:sz w:val="21"/>
          <w:szCs w:val="21"/>
        </w:rPr>
      </w:pPr>
      <w:r>
        <w:rPr>
          <w:rFonts w:hint="eastAsia" w:ascii="宋体" w:hAnsi="宋体" w:cs="宋体"/>
          <w:sz w:val="21"/>
          <w:szCs w:val="21"/>
        </w:rPr>
        <w:t>治安人员数量不低于8人。</w:t>
      </w:r>
    </w:p>
    <w:p>
      <w:pPr>
        <w:spacing w:line="288" w:lineRule="auto"/>
        <w:ind w:firstLine="420" w:firstLineChars="200"/>
        <w:rPr>
          <w:rFonts w:ascii="宋体" w:hAnsi="宋体" w:cs="宋体"/>
          <w:sz w:val="21"/>
          <w:szCs w:val="21"/>
        </w:rPr>
      </w:pPr>
      <w:r>
        <w:rPr>
          <w:rFonts w:hint="eastAsia" w:ascii="宋体" w:hAnsi="宋体" w:cs="宋体"/>
          <w:sz w:val="21"/>
          <w:szCs w:val="21"/>
        </w:rPr>
        <w:t>治安管理人员应具备初中及以上学历，身体健康、政治素质好，男性身高原则上不低160cm，女性身高原则上不低于150cm，女性比例不超过30%；平均年龄不超过57岁，且男性最大不超过65岁，女性最大不超过60，55周岁以下人数不低于40%。</w:t>
      </w:r>
    </w:p>
    <w:p>
      <w:pPr>
        <w:spacing w:line="288" w:lineRule="auto"/>
        <w:ind w:firstLine="420" w:firstLineChars="200"/>
        <w:rPr>
          <w:rFonts w:ascii="宋体" w:hAnsi="宋体" w:cs="宋体"/>
          <w:sz w:val="21"/>
          <w:szCs w:val="21"/>
        </w:rPr>
      </w:pPr>
      <w:r>
        <w:rPr>
          <w:rFonts w:hint="eastAsia" w:ascii="宋体" w:hAnsi="宋体" w:cs="宋体"/>
          <w:sz w:val="21"/>
          <w:szCs w:val="21"/>
        </w:rPr>
        <w:t>治安管理人员上岗前应针对亚林所安保等实际工作进行岗前培训（包含业务培训和保密培训），并得到亚林所保卫科、后勤中心认可。</w:t>
      </w:r>
    </w:p>
    <w:p>
      <w:pPr>
        <w:spacing w:line="288" w:lineRule="auto"/>
        <w:ind w:firstLine="420" w:firstLineChars="200"/>
        <w:rPr>
          <w:rFonts w:ascii="宋体" w:hAnsi="宋体" w:cs="宋体"/>
          <w:sz w:val="21"/>
          <w:szCs w:val="21"/>
        </w:rPr>
      </w:pPr>
      <w:r>
        <w:rPr>
          <w:rFonts w:hint="eastAsia" w:ascii="宋体" w:hAnsi="宋体" w:cs="宋体"/>
          <w:sz w:val="21"/>
          <w:szCs w:val="21"/>
        </w:rPr>
        <w:t>（2）主要服务内容与基本要求</w:t>
      </w:r>
    </w:p>
    <w:p>
      <w:pPr>
        <w:spacing w:line="288" w:lineRule="auto"/>
        <w:ind w:firstLine="422" w:firstLineChars="200"/>
        <w:rPr>
          <w:rFonts w:ascii="宋体" w:hAnsi="宋体" w:cs="宋体"/>
          <w:b/>
          <w:sz w:val="21"/>
          <w:szCs w:val="21"/>
        </w:rPr>
      </w:pPr>
      <w:r>
        <w:rPr>
          <w:rFonts w:hint="eastAsia" w:ascii="宋体" w:hAnsi="宋体" w:cs="宋体"/>
          <w:b/>
          <w:bCs/>
          <w:sz w:val="21"/>
          <w:szCs w:val="21"/>
        </w:rPr>
        <w:t>①</w:t>
      </w:r>
      <w:r>
        <w:rPr>
          <w:rFonts w:hint="eastAsia" w:ascii="宋体" w:hAnsi="宋体" w:cs="宋体"/>
          <w:b/>
          <w:sz w:val="21"/>
          <w:szCs w:val="21"/>
        </w:rPr>
        <w:t>传达室：所部传达室24小时值班，实行物业主管或保安队长带班制；河西院区值班室白班值班。</w:t>
      </w:r>
    </w:p>
    <w:p>
      <w:pPr>
        <w:spacing w:line="288" w:lineRule="auto"/>
        <w:ind w:firstLine="422" w:firstLineChars="200"/>
        <w:rPr>
          <w:rFonts w:ascii="宋体" w:hAnsi="宋体" w:cs="宋体"/>
          <w:b/>
          <w:sz w:val="21"/>
          <w:szCs w:val="21"/>
        </w:rPr>
      </w:pPr>
      <w:r>
        <w:rPr>
          <w:rFonts w:hint="eastAsia" w:ascii="宋体" w:hAnsi="宋体" w:cs="宋体"/>
          <w:b/>
          <w:sz w:val="21"/>
          <w:szCs w:val="21"/>
        </w:rPr>
        <w:t>所部传达室具体内容与要求如下：</w:t>
      </w:r>
    </w:p>
    <w:p>
      <w:pPr>
        <w:spacing w:line="288" w:lineRule="auto"/>
        <w:ind w:firstLine="420" w:firstLineChars="200"/>
        <w:rPr>
          <w:rFonts w:ascii="宋体" w:hAnsi="宋体" w:cs="宋体"/>
          <w:sz w:val="21"/>
          <w:szCs w:val="21"/>
        </w:rPr>
      </w:pPr>
      <w:r>
        <w:rPr>
          <w:rFonts w:hint="eastAsia" w:ascii="宋体" w:hAnsi="宋体" w:cs="宋体"/>
          <w:sz w:val="21"/>
          <w:szCs w:val="21"/>
        </w:rPr>
        <w:t>传达室内整齐清洁，无私拉乱接电线和违规使用电器，节约用电，空调使用期间及温度控制符合亚林所节能相关要求。值班电话畅通，不得使用值班电话处理私人事务。</w:t>
      </w:r>
    </w:p>
    <w:p>
      <w:pPr>
        <w:spacing w:line="288" w:lineRule="auto"/>
        <w:ind w:firstLine="420" w:firstLineChars="200"/>
        <w:rPr>
          <w:rFonts w:ascii="宋体" w:hAnsi="宋体" w:cs="宋体"/>
          <w:sz w:val="21"/>
          <w:szCs w:val="21"/>
        </w:rPr>
      </w:pPr>
      <w:r>
        <w:rPr>
          <w:rFonts w:hint="eastAsia" w:ascii="宋体" w:hAnsi="宋体" w:cs="宋体"/>
          <w:sz w:val="21"/>
          <w:szCs w:val="21"/>
        </w:rPr>
        <w:t>严格车辆、人员及货物进出管理（具体管理要求由亚林所后勤中心提出）。</w:t>
      </w:r>
    </w:p>
    <w:p>
      <w:pPr>
        <w:spacing w:line="288" w:lineRule="auto"/>
        <w:ind w:firstLine="420" w:firstLineChars="200"/>
        <w:rPr>
          <w:rFonts w:ascii="宋体" w:hAnsi="宋体" w:cs="宋体"/>
          <w:sz w:val="21"/>
          <w:szCs w:val="21"/>
        </w:rPr>
      </w:pPr>
      <w:r>
        <w:rPr>
          <w:rFonts w:hint="eastAsia" w:ascii="宋体" w:hAnsi="宋体" w:cs="宋体"/>
          <w:sz w:val="21"/>
          <w:szCs w:val="21"/>
        </w:rPr>
        <w:t>公务文件、报刊、物品等登记、分发准确及时，台账明晰可查，差错率低于1%。公务挂号信、特快专递等须及时传递的邮件，应在收到邮件后的2小时内通知收件人（收件人因故不能按时接收的应做好相关记录）。</w:t>
      </w:r>
    </w:p>
    <w:p>
      <w:pPr>
        <w:spacing w:line="288" w:lineRule="auto"/>
        <w:ind w:firstLine="420" w:firstLineChars="200"/>
        <w:rPr>
          <w:rFonts w:ascii="宋体" w:hAnsi="宋体" w:cs="宋体"/>
          <w:sz w:val="21"/>
          <w:szCs w:val="21"/>
        </w:rPr>
      </w:pPr>
      <w:r>
        <w:rPr>
          <w:rFonts w:hint="eastAsia" w:ascii="宋体" w:hAnsi="宋体" w:cs="宋体"/>
          <w:sz w:val="21"/>
          <w:szCs w:val="21"/>
        </w:rPr>
        <w:t>严格监控资料和设备操作资料的保管，无权限人员不得调阅监控资料、接触设备使用说明书、设备使用密码及设备相关资料。查询监控应事先取得保卫科或后勤中心批准。</w:t>
      </w:r>
    </w:p>
    <w:p>
      <w:pPr>
        <w:spacing w:line="288" w:lineRule="auto"/>
        <w:ind w:firstLine="420" w:firstLineChars="200"/>
        <w:rPr>
          <w:rFonts w:ascii="宋体" w:hAnsi="宋体" w:cs="宋体"/>
          <w:sz w:val="21"/>
          <w:szCs w:val="21"/>
        </w:rPr>
      </w:pPr>
      <w:r>
        <w:rPr>
          <w:rFonts w:hint="eastAsia" w:ascii="宋体" w:hAnsi="宋体" w:cs="宋体"/>
          <w:sz w:val="21"/>
          <w:szCs w:val="21"/>
        </w:rPr>
        <w:t>值班人员不得从事与值班无关活动，传达室不得开展与规定业务无关的其他事务。</w:t>
      </w:r>
    </w:p>
    <w:p>
      <w:pPr>
        <w:spacing w:line="288" w:lineRule="auto"/>
        <w:ind w:firstLine="422" w:firstLineChars="200"/>
        <w:rPr>
          <w:rFonts w:ascii="宋体" w:hAnsi="宋体" w:cs="宋体"/>
          <w:b/>
          <w:sz w:val="21"/>
          <w:szCs w:val="21"/>
        </w:rPr>
      </w:pPr>
      <w:r>
        <w:rPr>
          <w:rFonts w:hint="eastAsia" w:ascii="宋体" w:hAnsi="宋体" w:cs="宋体"/>
          <w:b/>
          <w:sz w:val="21"/>
          <w:szCs w:val="21"/>
        </w:rPr>
        <w:t>河西值班室具体要求：</w:t>
      </w:r>
    </w:p>
    <w:p>
      <w:pPr>
        <w:spacing w:line="288" w:lineRule="auto"/>
        <w:ind w:firstLine="420" w:firstLineChars="200"/>
        <w:rPr>
          <w:rFonts w:ascii="宋体" w:hAnsi="宋体" w:cs="宋体"/>
          <w:sz w:val="21"/>
          <w:szCs w:val="21"/>
        </w:rPr>
      </w:pPr>
      <w:r>
        <w:rPr>
          <w:rFonts w:hint="eastAsia" w:ascii="宋体" w:hAnsi="宋体" w:cs="宋体"/>
          <w:sz w:val="21"/>
          <w:szCs w:val="21"/>
        </w:rPr>
        <w:t>值班时间07：00-19：00，值班室内清洁整齐，无私拉乱接电线和违规使用电器，节约用电，空调使用期间及温度控制符合亚林所节能相关要求。</w:t>
      </w:r>
    </w:p>
    <w:p>
      <w:pPr>
        <w:spacing w:line="288" w:lineRule="auto"/>
        <w:ind w:firstLine="420" w:firstLineChars="200"/>
        <w:rPr>
          <w:rFonts w:ascii="宋体" w:hAnsi="宋体" w:cs="宋体"/>
          <w:sz w:val="21"/>
          <w:szCs w:val="21"/>
        </w:rPr>
      </w:pPr>
      <w:r>
        <w:rPr>
          <w:rFonts w:hint="eastAsia" w:ascii="宋体" w:hAnsi="宋体" w:cs="宋体"/>
          <w:sz w:val="21"/>
          <w:szCs w:val="21"/>
        </w:rPr>
        <w:t>监督、管控进出人员、车辆，无外来无关车辆停放、无关人员进入。</w:t>
      </w:r>
    </w:p>
    <w:p>
      <w:pPr>
        <w:spacing w:line="288" w:lineRule="auto"/>
        <w:ind w:firstLine="420" w:firstLineChars="200"/>
        <w:rPr>
          <w:rFonts w:ascii="宋体" w:hAnsi="宋体" w:cs="宋体"/>
          <w:sz w:val="21"/>
          <w:szCs w:val="21"/>
        </w:rPr>
      </w:pPr>
      <w:r>
        <w:rPr>
          <w:rFonts w:hint="eastAsia" w:ascii="宋体" w:hAnsi="宋体" w:cs="宋体"/>
          <w:sz w:val="21"/>
          <w:szCs w:val="21"/>
        </w:rPr>
        <w:t>兼顾河西院区卫生保洁。</w:t>
      </w:r>
    </w:p>
    <w:p>
      <w:pPr>
        <w:spacing w:line="288" w:lineRule="auto"/>
        <w:ind w:firstLine="420" w:firstLineChars="200"/>
        <w:rPr>
          <w:rFonts w:ascii="宋体" w:hAnsi="宋体" w:cs="宋体"/>
          <w:sz w:val="21"/>
          <w:szCs w:val="21"/>
        </w:rPr>
      </w:pPr>
      <w:r>
        <w:rPr>
          <w:rFonts w:hint="eastAsia" w:ascii="宋体" w:hAnsi="宋体" w:cs="宋体"/>
          <w:sz w:val="21"/>
          <w:szCs w:val="21"/>
        </w:rPr>
        <w:t>②治安巡查：</w:t>
      </w:r>
    </w:p>
    <w:p>
      <w:pPr>
        <w:spacing w:line="288" w:lineRule="auto"/>
        <w:ind w:firstLine="420" w:firstLineChars="200"/>
        <w:rPr>
          <w:rFonts w:ascii="宋体" w:hAnsi="宋体" w:cs="宋体"/>
          <w:sz w:val="21"/>
          <w:szCs w:val="21"/>
        </w:rPr>
      </w:pPr>
      <w:r>
        <w:rPr>
          <w:rFonts w:hint="eastAsia" w:ascii="宋体" w:hAnsi="宋体" w:cs="宋体"/>
          <w:sz w:val="21"/>
          <w:szCs w:val="21"/>
        </w:rPr>
        <w:t>管理区范围（巡更图）内公共区域，工作日上班时段上、下午各巡查1次；工作日非工作时段及非工作日每2小时巡查1次，非巡逻时段加强监控监视，巡逻台账完整准确备查。巡查具体内容及要求：</w:t>
      </w:r>
    </w:p>
    <w:p>
      <w:pPr>
        <w:spacing w:line="288" w:lineRule="auto"/>
        <w:ind w:firstLine="420" w:firstLineChars="200"/>
        <w:rPr>
          <w:rFonts w:ascii="宋体" w:hAnsi="宋体" w:cs="宋体"/>
          <w:sz w:val="21"/>
          <w:szCs w:val="21"/>
        </w:rPr>
      </w:pPr>
      <w:r>
        <w:rPr>
          <w:rFonts w:hint="eastAsia" w:ascii="宋体" w:hAnsi="宋体" w:cs="宋体"/>
          <w:sz w:val="21"/>
          <w:szCs w:val="21"/>
        </w:rPr>
        <w:t>发现水、电、气、火等安全隐患，采取应急处置措施，并立即向物业主管及后勤中心报告。</w:t>
      </w:r>
    </w:p>
    <w:p>
      <w:pPr>
        <w:spacing w:line="288" w:lineRule="auto"/>
        <w:ind w:firstLine="420" w:firstLineChars="200"/>
        <w:rPr>
          <w:rFonts w:ascii="宋体" w:hAnsi="宋体" w:cs="宋体"/>
          <w:sz w:val="21"/>
          <w:szCs w:val="21"/>
        </w:rPr>
      </w:pPr>
      <w:r>
        <w:rPr>
          <w:rFonts w:hint="eastAsia" w:ascii="宋体" w:hAnsi="宋体" w:cs="宋体"/>
          <w:sz w:val="21"/>
          <w:szCs w:val="21"/>
        </w:rPr>
        <w:t>发现林木种质资源破坏、林地私自挖土取水、公共财物及设施破坏等行为，立即制止，并向物业主管及亚林所保卫科报告。</w:t>
      </w:r>
    </w:p>
    <w:p>
      <w:pPr>
        <w:spacing w:line="288" w:lineRule="auto"/>
        <w:ind w:firstLine="420" w:firstLineChars="200"/>
        <w:rPr>
          <w:rFonts w:ascii="宋体" w:hAnsi="宋体" w:cs="宋体"/>
          <w:sz w:val="21"/>
          <w:szCs w:val="21"/>
        </w:rPr>
      </w:pPr>
      <w:r>
        <w:rPr>
          <w:rFonts w:hint="eastAsia" w:ascii="宋体" w:hAnsi="宋体" w:cs="宋体"/>
          <w:sz w:val="21"/>
          <w:szCs w:val="21"/>
        </w:rPr>
        <w:t>发现偷盗、闹事、斗殴、凶杀、投毒、爆炸等违法犯罪活动，立即报警并采取措施制止其行为，同时向亚林所保卫科报告。其中，盗窃、凶案、火灾、投毒、损毁财物以及其他有现场的案件，应妥善保护好现场、协助公安机关调查。</w:t>
      </w:r>
    </w:p>
    <w:p>
      <w:pPr>
        <w:spacing w:line="288" w:lineRule="auto"/>
        <w:ind w:firstLine="420" w:firstLineChars="200"/>
        <w:rPr>
          <w:rFonts w:ascii="宋体" w:hAnsi="宋体" w:cs="宋体"/>
          <w:sz w:val="21"/>
          <w:szCs w:val="21"/>
        </w:rPr>
      </w:pPr>
      <w:r>
        <w:rPr>
          <w:rFonts w:hint="eastAsia" w:ascii="宋体" w:hAnsi="宋体" w:cs="宋体"/>
          <w:sz w:val="21"/>
          <w:szCs w:val="21"/>
        </w:rPr>
        <w:t>按亚林所相关规定严格控制办公楼非工作时段人员进出。</w:t>
      </w:r>
    </w:p>
    <w:p>
      <w:pPr>
        <w:spacing w:line="288" w:lineRule="auto"/>
        <w:ind w:firstLine="420" w:firstLineChars="200"/>
        <w:rPr>
          <w:rFonts w:ascii="宋体" w:hAnsi="宋体" w:cs="宋体"/>
          <w:sz w:val="21"/>
          <w:szCs w:val="21"/>
        </w:rPr>
      </w:pPr>
      <w:r>
        <w:rPr>
          <w:rFonts w:hint="eastAsia" w:ascii="宋体" w:hAnsi="宋体" w:cs="宋体"/>
          <w:sz w:val="21"/>
          <w:szCs w:val="21"/>
        </w:rPr>
        <w:t>节假日、非工作时段巡查时应增加重要部门、要害部位如水泵房、财务室、档案室、配电房、车库等、质检中心、危化品仓库等巡查次数，并做好巡查台帐。</w:t>
      </w:r>
    </w:p>
    <w:p>
      <w:pPr>
        <w:spacing w:line="288" w:lineRule="auto"/>
        <w:ind w:firstLine="420" w:firstLineChars="200"/>
        <w:rPr>
          <w:rFonts w:ascii="宋体" w:hAnsi="宋体" w:cs="宋体"/>
          <w:sz w:val="21"/>
          <w:szCs w:val="21"/>
        </w:rPr>
      </w:pPr>
      <w:r>
        <w:rPr>
          <w:rFonts w:hint="eastAsia" w:ascii="宋体" w:hAnsi="宋体" w:cs="宋体"/>
          <w:sz w:val="21"/>
          <w:szCs w:val="21"/>
        </w:rPr>
        <w:t>③秩序管理：</w:t>
      </w:r>
    </w:p>
    <w:p>
      <w:pPr>
        <w:spacing w:line="288" w:lineRule="auto"/>
        <w:ind w:firstLine="420" w:firstLineChars="200"/>
        <w:rPr>
          <w:rFonts w:ascii="宋体" w:hAnsi="宋体" w:cs="宋体"/>
          <w:sz w:val="21"/>
          <w:szCs w:val="21"/>
        </w:rPr>
      </w:pPr>
      <w:r>
        <w:rPr>
          <w:rFonts w:hint="eastAsia" w:ascii="宋体" w:hAnsi="宋体" w:cs="宋体"/>
          <w:sz w:val="21"/>
          <w:szCs w:val="21"/>
        </w:rPr>
        <w:t>值班人员及巡查人员应结合目视和监控视频随时巡查管理区秩序，发现违规及时处置，具体要求如下：</w:t>
      </w:r>
    </w:p>
    <w:p>
      <w:pPr>
        <w:spacing w:line="288" w:lineRule="auto"/>
        <w:ind w:firstLine="420" w:firstLineChars="200"/>
        <w:rPr>
          <w:rFonts w:ascii="宋体" w:hAnsi="宋体" w:cs="宋体"/>
          <w:sz w:val="21"/>
          <w:szCs w:val="21"/>
        </w:rPr>
      </w:pPr>
      <w:r>
        <w:rPr>
          <w:rFonts w:hint="eastAsia" w:ascii="宋体" w:hAnsi="宋体" w:cs="宋体"/>
          <w:sz w:val="21"/>
          <w:szCs w:val="21"/>
        </w:rPr>
        <w:t>管理区内机动、非机动车辆按指定位置停放。办公区违规停放车辆应及发现并处理。每年清查僵尸车辆。</w:t>
      </w:r>
    </w:p>
    <w:p>
      <w:pPr>
        <w:spacing w:line="288" w:lineRule="auto"/>
        <w:ind w:firstLine="420" w:firstLineChars="200"/>
        <w:rPr>
          <w:rFonts w:ascii="宋体" w:hAnsi="宋体" w:cs="宋体"/>
          <w:sz w:val="21"/>
          <w:szCs w:val="21"/>
        </w:rPr>
      </w:pPr>
      <w:r>
        <w:rPr>
          <w:rFonts w:hint="eastAsia" w:ascii="宋体" w:hAnsi="宋体" w:cs="宋体"/>
          <w:sz w:val="21"/>
          <w:szCs w:val="21"/>
        </w:rPr>
        <w:t>管理区特别是办公区无闲杂人聚集，不出现广场舞活动等聚焦活动。遛狗、赤膊、随地小便、随意践踏绿地等不文明行为以及其他干扰或影响正常办公的活动应及时发现并处理。</w:t>
      </w:r>
    </w:p>
    <w:p>
      <w:pPr>
        <w:spacing w:line="288" w:lineRule="auto"/>
        <w:ind w:firstLine="420" w:firstLineChars="200"/>
        <w:rPr>
          <w:rFonts w:ascii="宋体" w:hAnsi="宋体" w:cs="宋体"/>
          <w:sz w:val="21"/>
          <w:szCs w:val="21"/>
        </w:rPr>
      </w:pPr>
      <w:r>
        <w:rPr>
          <w:rFonts w:hint="eastAsia" w:ascii="宋体" w:hAnsi="宋体" w:cs="宋体"/>
          <w:sz w:val="21"/>
          <w:szCs w:val="21"/>
        </w:rPr>
        <w:t>每小时巡视(现场或目视)办公区1次，未及时制止违规行为视同未巡视、未发现。</w:t>
      </w:r>
    </w:p>
    <w:p>
      <w:pPr>
        <w:spacing w:line="288" w:lineRule="auto"/>
        <w:ind w:firstLine="420" w:firstLineChars="200"/>
        <w:rPr>
          <w:rFonts w:ascii="宋体" w:hAnsi="宋体" w:cs="宋体"/>
          <w:sz w:val="21"/>
          <w:szCs w:val="21"/>
        </w:rPr>
      </w:pPr>
      <w:r>
        <w:rPr>
          <w:rFonts w:hint="eastAsia" w:ascii="宋体" w:hAnsi="宋体" w:cs="宋体"/>
          <w:sz w:val="21"/>
          <w:szCs w:val="21"/>
        </w:rPr>
        <w:t>④其他要求：</w:t>
      </w:r>
    </w:p>
    <w:p>
      <w:pPr>
        <w:spacing w:line="288" w:lineRule="auto"/>
        <w:ind w:firstLine="420" w:firstLineChars="200"/>
        <w:rPr>
          <w:rFonts w:ascii="宋体" w:hAnsi="宋体" w:cs="宋体"/>
          <w:sz w:val="21"/>
          <w:szCs w:val="21"/>
        </w:rPr>
      </w:pPr>
      <w:r>
        <w:rPr>
          <w:rFonts w:hint="eastAsia" w:ascii="宋体" w:hAnsi="宋体" w:cs="宋体"/>
          <w:sz w:val="21"/>
          <w:szCs w:val="21"/>
        </w:rPr>
        <w:t>积极完成亚林所交办安保相关其他工作及治安应急处置工作。</w:t>
      </w:r>
    </w:p>
    <w:p>
      <w:pPr>
        <w:spacing w:line="288" w:lineRule="auto"/>
        <w:ind w:firstLine="420" w:firstLineChars="200"/>
        <w:rPr>
          <w:rFonts w:ascii="宋体" w:hAnsi="宋体" w:cs="宋体"/>
          <w:sz w:val="21"/>
          <w:szCs w:val="21"/>
        </w:rPr>
      </w:pPr>
      <w:r>
        <w:rPr>
          <w:rFonts w:hint="eastAsia" w:ascii="宋体" w:hAnsi="宋体" w:cs="宋体"/>
          <w:sz w:val="21"/>
          <w:szCs w:val="21"/>
        </w:rPr>
        <w:t>积极配合派出所等治安管理机关工作。</w:t>
      </w:r>
    </w:p>
    <w:p>
      <w:pPr>
        <w:spacing w:line="288" w:lineRule="auto"/>
        <w:ind w:firstLine="422" w:firstLineChars="200"/>
        <w:rPr>
          <w:rFonts w:ascii="宋体" w:hAnsi="宋体" w:cs="宋体"/>
          <w:b/>
          <w:sz w:val="21"/>
          <w:szCs w:val="21"/>
        </w:rPr>
      </w:pPr>
      <w:r>
        <w:rPr>
          <w:rFonts w:hint="eastAsia" w:ascii="宋体" w:hAnsi="宋体" w:cs="宋体"/>
          <w:b/>
          <w:sz w:val="21"/>
          <w:szCs w:val="21"/>
        </w:rPr>
        <w:t>2）消防管理服务</w:t>
      </w:r>
    </w:p>
    <w:p>
      <w:pPr>
        <w:spacing w:line="288" w:lineRule="auto"/>
        <w:ind w:firstLine="420" w:firstLineChars="200"/>
        <w:rPr>
          <w:rFonts w:ascii="宋体" w:hAnsi="宋体" w:cs="宋体"/>
          <w:sz w:val="21"/>
          <w:szCs w:val="21"/>
        </w:rPr>
      </w:pPr>
      <w:r>
        <w:rPr>
          <w:rFonts w:hint="eastAsia" w:ascii="宋体" w:hAnsi="宋体" w:cs="宋体"/>
          <w:sz w:val="21"/>
          <w:szCs w:val="21"/>
        </w:rPr>
        <w:t>（1）消控室值班人员基本要求</w:t>
      </w:r>
    </w:p>
    <w:p>
      <w:pPr>
        <w:spacing w:line="288" w:lineRule="auto"/>
        <w:ind w:firstLine="420" w:firstLineChars="200"/>
        <w:rPr>
          <w:rFonts w:ascii="宋体" w:hAnsi="宋体" w:cs="宋体"/>
          <w:sz w:val="21"/>
          <w:szCs w:val="21"/>
        </w:rPr>
      </w:pPr>
      <w:r>
        <w:rPr>
          <w:rFonts w:hint="eastAsia" w:ascii="宋体" w:hAnsi="宋体" w:cs="宋体"/>
          <w:sz w:val="21"/>
          <w:szCs w:val="21"/>
        </w:rPr>
        <w:t>持证人员不低于3人，并符合应急管理部门要求，消防控室值班人员持证上岗,年龄男性不超过65岁，女性不超过60岁，接受上岗培训并得到亚林所保卫科认可。</w:t>
      </w:r>
    </w:p>
    <w:p>
      <w:pPr>
        <w:spacing w:line="288" w:lineRule="auto"/>
        <w:ind w:firstLine="420" w:firstLineChars="200"/>
        <w:rPr>
          <w:rFonts w:ascii="宋体" w:hAnsi="宋体" w:cs="宋体"/>
          <w:sz w:val="21"/>
          <w:szCs w:val="21"/>
        </w:rPr>
      </w:pPr>
      <w:r>
        <w:rPr>
          <w:rFonts w:hint="eastAsia" w:ascii="宋体" w:hAnsi="宋体" w:cs="宋体"/>
          <w:sz w:val="21"/>
          <w:szCs w:val="21"/>
        </w:rPr>
        <w:t>实验楼消控值班人员应熟悉实验楼及其他楼宇消防系统操作程序，并结合定期消防检查开展实际操作演练，接受亚林所保卫科检验。</w:t>
      </w:r>
    </w:p>
    <w:p>
      <w:pPr>
        <w:spacing w:line="288" w:lineRule="auto"/>
        <w:ind w:firstLine="420" w:firstLineChars="200"/>
        <w:rPr>
          <w:rFonts w:ascii="宋体" w:hAnsi="宋体" w:cs="宋体"/>
          <w:sz w:val="21"/>
          <w:szCs w:val="21"/>
        </w:rPr>
      </w:pPr>
      <w:r>
        <w:rPr>
          <w:rFonts w:hint="eastAsia" w:ascii="宋体" w:hAnsi="宋体" w:cs="宋体"/>
          <w:sz w:val="21"/>
          <w:szCs w:val="21"/>
        </w:rPr>
        <w:t>实验楼消控值班人员应熟练操作治安监控设备，发现治安相关问题及时通报门卫值班室处理，并做好台账备查。</w:t>
      </w:r>
    </w:p>
    <w:p>
      <w:pPr>
        <w:spacing w:line="288" w:lineRule="auto"/>
        <w:ind w:firstLine="420" w:firstLineChars="200"/>
        <w:rPr>
          <w:rFonts w:ascii="宋体" w:hAnsi="宋体" w:cs="宋体"/>
          <w:sz w:val="21"/>
          <w:szCs w:val="21"/>
        </w:rPr>
      </w:pPr>
      <w:r>
        <w:rPr>
          <w:rFonts w:hint="eastAsia" w:ascii="宋体" w:hAnsi="宋体" w:cs="宋体"/>
          <w:sz w:val="21"/>
          <w:szCs w:val="21"/>
        </w:rPr>
        <w:t>实验楼消控值班人员应具保密意识，拒绝无关人员出入消控室、调阅监控资料。</w:t>
      </w:r>
    </w:p>
    <w:p>
      <w:pPr>
        <w:spacing w:line="288" w:lineRule="auto"/>
        <w:ind w:firstLine="420" w:firstLineChars="200"/>
        <w:rPr>
          <w:rFonts w:ascii="宋体" w:hAnsi="宋体" w:cs="宋体"/>
          <w:sz w:val="21"/>
          <w:szCs w:val="21"/>
        </w:rPr>
      </w:pPr>
      <w:r>
        <w:rPr>
          <w:rFonts w:hint="eastAsia" w:ascii="宋体" w:hAnsi="宋体" w:cs="宋体"/>
          <w:sz w:val="21"/>
          <w:szCs w:val="21"/>
        </w:rPr>
        <w:t>（2）主要服务内容与基本要求</w:t>
      </w:r>
    </w:p>
    <w:p>
      <w:pPr>
        <w:spacing w:line="288" w:lineRule="auto"/>
        <w:ind w:firstLine="420" w:firstLineChars="200"/>
        <w:rPr>
          <w:rFonts w:ascii="宋体" w:hAnsi="宋体" w:cs="宋体"/>
          <w:sz w:val="21"/>
          <w:szCs w:val="21"/>
        </w:rPr>
      </w:pPr>
      <w:r>
        <w:rPr>
          <w:rFonts w:hint="eastAsia" w:ascii="宋体" w:hAnsi="宋体" w:cs="宋体"/>
          <w:sz w:val="21"/>
          <w:szCs w:val="21"/>
        </w:rPr>
        <w:t>承担管理区消防日常巡查、配合开展消防设施设备检查维护及保卫科、后勤中心安排的其他相关工作。</w:t>
      </w:r>
    </w:p>
    <w:p>
      <w:pPr>
        <w:spacing w:line="288" w:lineRule="auto"/>
        <w:ind w:firstLine="420" w:firstLineChars="200"/>
        <w:rPr>
          <w:rFonts w:ascii="宋体" w:hAnsi="宋体" w:cs="宋体"/>
          <w:sz w:val="21"/>
          <w:szCs w:val="21"/>
        </w:rPr>
      </w:pPr>
      <w:r>
        <w:rPr>
          <w:rFonts w:hint="eastAsia" w:ascii="宋体" w:hAnsi="宋体" w:cs="宋体"/>
          <w:sz w:val="21"/>
          <w:szCs w:val="21"/>
        </w:rPr>
        <w:t>①消防负责人及管理制度建设</w:t>
      </w:r>
    </w:p>
    <w:p>
      <w:pPr>
        <w:spacing w:line="288" w:lineRule="auto"/>
        <w:ind w:firstLine="420" w:firstLineChars="200"/>
        <w:rPr>
          <w:rFonts w:ascii="宋体" w:hAnsi="宋体" w:cs="宋体"/>
          <w:sz w:val="21"/>
          <w:szCs w:val="21"/>
        </w:rPr>
      </w:pPr>
      <w:r>
        <w:rPr>
          <w:rFonts w:hint="eastAsia" w:ascii="宋体" w:hAnsi="宋体" w:cs="宋体"/>
          <w:sz w:val="21"/>
          <w:szCs w:val="21"/>
        </w:rPr>
        <w:t>建立消防制度体系，指定专职负责人，具体要求：指定消防负责人。消防负责人应持有消防员资格证，熟悉消防法规及消防应急处置流程与措施，负责组织消防日报、月报填报。消防负责人应组织建立消防工作制度体系，建立消防应急预案，消防制度及应急预案应进场后1个月内提交业主单位备案。</w:t>
      </w:r>
    </w:p>
    <w:p>
      <w:pPr>
        <w:spacing w:line="288" w:lineRule="auto"/>
        <w:ind w:firstLine="420" w:firstLineChars="200"/>
        <w:rPr>
          <w:rFonts w:ascii="宋体" w:hAnsi="宋体" w:cs="宋体"/>
          <w:sz w:val="21"/>
          <w:szCs w:val="21"/>
        </w:rPr>
      </w:pPr>
      <w:r>
        <w:rPr>
          <w:rFonts w:hint="eastAsia" w:ascii="宋体" w:hAnsi="宋体" w:cs="宋体"/>
          <w:sz w:val="21"/>
          <w:szCs w:val="21"/>
        </w:rPr>
        <w:t>②常规消防设施管理</w:t>
      </w:r>
    </w:p>
    <w:p>
      <w:pPr>
        <w:spacing w:line="288" w:lineRule="auto"/>
        <w:ind w:firstLine="420" w:firstLineChars="200"/>
        <w:rPr>
          <w:rFonts w:ascii="宋体" w:hAnsi="宋体" w:cs="宋体"/>
          <w:sz w:val="21"/>
          <w:szCs w:val="21"/>
        </w:rPr>
      </w:pPr>
      <w:r>
        <w:rPr>
          <w:rFonts w:hint="eastAsia" w:ascii="宋体" w:hAnsi="宋体" w:cs="宋体"/>
          <w:sz w:val="21"/>
          <w:szCs w:val="21"/>
        </w:rPr>
        <w:t>结合治安巡逻，做好日常消防巡查，具体要求如下：每月对室外的消防栓、消防泵、各楼层消防栓等设备进行巡查，是否有埋压或损坏、缺失和失效等情况，并张贴警示标识，并做好巡查台帐。发现老化需要更新的各种设施设备应及时提出更新建议，报亚林所后勤中心安全员。</w:t>
      </w:r>
    </w:p>
    <w:p>
      <w:pPr>
        <w:spacing w:line="288" w:lineRule="auto"/>
        <w:ind w:firstLine="420" w:firstLineChars="200"/>
        <w:rPr>
          <w:rFonts w:ascii="宋体" w:hAnsi="宋体" w:cs="宋体"/>
          <w:sz w:val="21"/>
          <w:szCs w:val="21"/>
        </w:rPr>
      </w:pPr>
      <w:r>
        <w:rPr>
          <w:rFonts w:hint="eastAsia" w:ascii="宋体" w:hAnsi="宋体" w:cs="宋体"/>
          <w:sz w:val="21"/>
          <w:szCs w:val="21"/>
        </w:rPr>
        <w:t>每月对各楼层的灭火器进行检查，是否有压力不足或缺少等情况并做好巡查记录，发现不合格灭火器及时向后勤中心报告，并协助更新。</w:t>
      </w:r>
    </w:p>
    <w:p>
      <w:pPr>
        <w:spacing w:line="288" w:lineRule="auto"/>
        <w:ind w:firstLine="420" w:firstLineChars="200"/>
        <w:rPr>
          <w:rFonts w:ascii="宋体" w:hAnsi="宋体" w:cs="宋体"/>
          <w:sz w:val="21"/>
          <w:szCs w:val="21"/>
        </w:rPr>
      </w:pPr>
      <w:r>
        <w:rPr>
          <w:rFonts w:hint="eastAsia" w:ascii="宋体" w:hAnsi="宋体" w:cs="宋体"/>
          <w:sz w:val="21"/>
          <w:szCs w:val="21"/>
        </w:rPr>
        <w:t>每日结合治安巡查，每日巡查非机动车充电情况，发现非车动车棚外私拉电线充电，没收充电器，报告亚林所保卫科。</w:t>
      </w:r>
    </w:p>
    <w:p>
      <w:pPr>
        <w:spacing w:line="288" w:lineRule="auto"/>
        <w:ind w:firstLine="420" w:firstLineChars="200"/>
        <w:rPr>
          <w:rFonts w:ascii="宋体" w:hAnsi="宋体" w:cs="宋体"/>
          <w:sz w:val="21"/>
          <w:szCs w:val="21"/>
        </w:rPr>
      </w:pPr>
      <w:r>
        <w:rPr>
          <w:rFonts w:hint="eastAsia" w:ascii="宋体" w:hAnsi="宋体" w:cs="宋体"/>
          <w:sz w:val="21"/>
          <w:szCs w:val="21"/>
        </w:rPr>
        <w:t>③办公楼消控系统管理</w:t>
      </w:r>
    </w:p>
    <w:p>
      <w:pPr>
        <w:spacing w:line="288" w:lineRule="auto"/>
        <w:ind w:firstLine="420" w:firstLineChars="200"/>
        <w:rPr>
          <w:rFonts w:ascii="宋体" w:hAnsi="宋体" w:cs="宋体"/>
          <w:sz w:val="21"/>
          <w:szCs w:val="21"/>
        </w:rPr>
      </w:pPr>
      <w:r>
        <w:rPr>
          <w:rFonts w:hint="eastAsia" w:ascii="宋体" w:hAnsi="宋体" w:cs="宋体"/>
          <w:sz w:val="21"/>
          <w:szCs w:val="21"/>
        </w:rPr>
        <w:t>亚林所重点消防部位，以监控室为主体做好每日监控巡查，配合做好定期例行检查维护，具体要求如下：消控室24小时值班，持证上岗。消控室不得放置与工作无关物品，保持整洁、安全，监控室内严禁吸烟，保持消控、监控设施和对讲系统保持24小时通畅。</w:t>
      </w:r>
    </w:p>
    <w:p>
      <w:pPr>
        <w:spacing w:line="288" w:lineRule="auto"/>
        <w:ind w:firstLine="420" w:firstLineChars="200"/>
        <w:rPr>
          <w:rFonts w:ascii="宋体" w:hAnsi="宋体" w:cs="宋体"/>
          <w:sz w:val="21"/>
          <w:szCs w:val="21"/>
        </w:rPr>
      </w:pPr>
      <w:r>
        <w:rPr>
          <w:rFonts w:hint="eastAsia" w:ascii="宋体" w:hAnsi="宋体" w:cs="宋体"/>
          <w:sz w:val="21"/>
          <w:szCs w:val="21"/>
        </w:rPr>
        <w:t>消控室收到火情、险情及其他异常情况报警信号后，立即派专人到现场调查并进行处理，同时向亚林所保卫科、后勤中心报告，并视险情决定是否报警。严格监控资料和设备操作资料的保管，无权限人员不得调阅监控资料、接触设备使用说明书、设备使用密码及设备相关资料。</w:t>
      </w:r>
    </w:p>
    <w:p>
      <w:pPr>
        <w:spacing w:line="288" w:lineRule="auto"/>
        <w:ind w:firstLine="420" w:firstLineChars="200"/>
        <w:rPr>
          <w:rFonts w:ascii="宋体" w:hAnsi="宋体" w:cs="宋体"/>
          <w:sz w:val="21"/>
          <w:szCs w:val="21"/>
        </w:rPr>
      </w:pPr>
      <w:r>
        <w:rPr>
          <w:rFonts w:hint="eastAsia" w:ascii="宋体" w:hAnsi="宋体" w:cs="宋体"/>
          <w:sz w:val="21"/>
          <w:szCs w:val="21"/>
        </w:rPr>
        <w:t>配合维保单定期对办公楼消防系统进行维修保养。</w:t>
      </w:r>
    </w:p>
    <w:p>
      <w:pPr>
        <w:spacing w:line="288" w:lineRule="auto"/>
        <w:ind w:firstLine="420" w:firstLineChars="200"/>
        <w:rPr>
          <w:rFonts w:ascii="宋体" w:hAnsi="宋体" w:cs="宋体"/>
          <w:sz w:val="21"/>
          <w:szCs w:val="21"/>
        </w:rPr>
      </w:pPr>
      <w:r>
        <w:rPr>
          <w:rFonts w:hint="eastAsia" w:ascii="宋体" w:hAnsi="宋体" w:cs="宋体"/>
          <w:sz w:val="21"/>
          <w:szCs w:val="21"/>
        </w:rPr>
        <w:t>每月定期对各楼层的排烟通风口、消防通道进行检查，是否有遮挡或堵塞；各楼层的疏散指示标志及照明设施是否有损坏或缺少等情况，发现异常，及时处理或报告。</w:t>
      </w:r>
    </w:p>
    <w:p>
      <w:pPr>
        <w:spacing w:line="288" w:lineRule="auto"/>
        <w:ind w:firstLine="420" w:firstLineChars="200"/>
        <w:rPr>
          <w:rFonts w:ascii="宋体" w:hAnsi="宋体" w:cs="宋体"/>
          <w:sz w:val="21"/>
          <w:szCs w:val="21"/>
        </w:rPr>
      </w:pPr>
      <w:r>
        <w:rPr>
          <w:rFonts w:hint="eastAsia" w:ascii="宋体" w:hAnsi="宋体" w:cs="宋体"/>
          <w:sz w:val="21"/>
          <w:szCs w:val="21"/>
        </w:rPr>
        <w:t>④消防演练</w:t>
      </w:r>
    </w:p>
    <w:p>
      <w:pPr>
        <w:spacing w:line="288" w:lineRule="auto"/>
        <w:ind w:firstLine="420" w:firstLineChars="200"/>
        <w:rPr>
          <w:rFonts w:ascii="宋体" w:hAnsi="宋体" w:cs="宋体"/>
          <w:sz w:val="21"/>
          <w:szCs w:val="21"/>
        </w:rPr>
      </w:pPr>
      <w:r>
        <w:rPr>
          <w:rFonts w:hint="eastAsia" w:ascii="宋体" w:hAnsi="宋体" w:cs="宋体"/>
          <w:sz w:val="21"/>
          <w:szCs w:val="21"/>
        </w:rPr>
        <w:t>组建队伍，按计划演练，保证应急处置能力，具体要求如下：组建由安保人员组成的预备消防队，按照消防应急预案，每半年至少培训、演练消防设施设备使用方法及火灾事故应急处置措施1次，并建立演练台帐，演练后总结报告提交亚林所保卫科、后勤中心备案。配合亚林所相关部门开展消防演练。</w:t>
      </w:r>
    </w:p>
    <w:p>
      <w:pPr>
        <w:spacing w:line="288" w:lineRule="auto"/>
        <w:ind w:firstLine="422" w:firstLineChars="200"/>
        <w:rPr>
          <w:rFonts w:ascii="宋体" w:hAnsi="宋体" w:cs="宋体"/>
          <w:b/>
          <w:sz w:val="21"/>
          <w:szCs w:val="21"/>
        </w:rPr>
      </w:pPr>
      <w:r>
        <w:rPr>
          <w:rFonts w:hint="eastAsia" w:ascii="宋体" w:hAnsi="宋体" w:cs="宋体"/>
          <w:b/>
          <w:sz w:val="21"/>
          <w:szCs w:val="21"/>
        </w:rPr>
        <w:t>3）卫生保洁服务</w:t>
      </w:r>
    </w:p>
    <w:p>
      <w:pPr>
        <w:spacing w:line="288" w:lineRule="auto"/>
        <w:ind w:firstLine="420" w:firstLineChars="200"/>
        <w:rPr>
          <w:rStyle w:val="30"/>
          <w:rFonts w:ascii="宋体" w:hAnsi="宋体" w:cs="宋体"/>
        </w:rPr>
      </w:pPr>
      <w:r>
        <w:rPr>
          <w:rFonts w:hint="eastAsia" w:ascii="宋体" w:hAnsi="宋体" w:cs="宋体"/>
          <w:sz w:val="21"/>
          <w:szCs w:val="21"/>
        </w:rPr>
        <w:t>（1）人员基本要求</w:t>
      </w:r>
      <w:r>
        <w:rPr>
          <w:rStyle w:val="30"/>
          <w:rFonts w:hint="eastAsia" w:ascii="宋体" w:hAnsi="宋体" w:cs="宋体"/>
        </w:rPr>
        <w:t>：</w:t>
      </w:r>
    </w:p>
    <w:p>
      <w:pPr>
        <w:spacing w:line="288" w:lineRule="auto"/>
        <w:ind w:firstLine="420" w:firstLineChars="200"/>
        <w:rPr>
          <w:rStyle w:val="30"/>
          <w:rFonts w:ascii="宋体" w:hAnsi="宋体" w:cs="宋体"/>
        </w:rPr>
      </w:pPr>
      <w:r>
        <w:rPr>
          <w:rStyle w:val="30"/>
          <w:rFonts w:hint="eastAsia" w:ascii="宋体" w:hAnsi="宋体" w:cs="宋体"/>
        </w:rPr>
        <w:t>人员总量不低于6人（如院区采用机械化作业可代替1人）。</w:t>
      </w:r>
    </w:p>
    <w:p>
      <w:pPr>
        <w:spacing w:line="288" w:lineRule="auto"/>
        <w:ind w:firstLine="420" w:firstLineChars="200"/>
        <w:rPr>
          <w:rFonts w:ascii="宋体" w:hAnsi="宋体" w:cs="宋体"/>
          <w:sz w:val="21"/>
          <w:szCs w:val="21"/>
        </w:rPr>
      </w:pPr>
      <w:r>
        <w:rPr>
          <w:rFonts w:hint="eastAsia" w:ascii="宋体" w:hAnsi="宋体" w:cs="宋体"/>
          <w:sz w:val="21"/>
          <w:szCs w:val="21"/>
        </w:rPr>
        <w:t>保洁人员应身体、心理健康，耐心细致，有较好的政治思想素质和业务水平，具有较强的保密意识。</w:t>
      </w:r>
    </w:p>
    <w:p>
      <w:pPr>
        <w:spacing w:line="288" w:lineRule="auto"/>
        <w:ind w:firstLine="420" w:firstLineChars="200"/>
        <w:rPr>
          <w:rFonts w:ascii="宋体" w:hAnsi="宋体" w:cs="宋体"/>
          <w:sz w:val="21"/>
          <w:szCs w:val="21"/>
        </w:rPr>
      </w:pPr>
      <w:r>
        <w:rPr>
          <w:rFonts w:hint="eastAsia" w:ascii="宋体" w:hAnsi="宋体" w:cs="宋体"/>
          <w:sz w:val="21"/>
          <w:szCs w:val="21"/>
        </w:rPr>
        <w:t>保洁人员工作时间不得聚集闲聊，大声喧哗。不得大声接打电话、大音量外放手机、收音机等。</w:t>
      </w:r>
    </w:p>
    <w:p>
      <w:pPr>
        <w:spacing w:line="288" w:lineRule="auto"/>
        <w:ind w:firstLine="420" w:firstLineChars="200"/>
        <w:rPr>
          <w:rFonts w:ascii="宋体" w:hAnsi="宋体" w:cs="宋体"/>
          <w:sz w:val="21"/>
          <w:szCs w:val="21"/>
        </w:rPr>
      </w:pPr>
      <w:r>
        <w:rPr>
          <w:rFonts w:hint="eastAsia" w:ascii="宋体" w:hAnsi="宋体" w:cs="宋体"/>
          <w:sz w:val="21"/>
          <w:szCs w:val="21"/>
        </w:rPr>
        <w:t>保洁人员不得占用公共空间存放杂物。</w:t>
      </w:r>
    </w:p>
    <w:p>
      <w:pPr>
        <w:spacing w:line="288" w:lineRule="auto"/>
        <w:ind w:firstLine="420" w:firstLineChars="200"/>
        <w:rPr>
          <w:rFonts w:ascii="宋体" w:hAnsi="宋体" w:cs="宋体"/>
          <w:sz w:val="21"/>
          <w:szCs w:val="21"/>
        </w:rPr>
      </w:pPr>
      <w:r>
        <w:rPr>
          <w:rFonts w:hint="eastAsia" w:ascii="宋体" w:hAnsi="宋体" w:cs="宋体"/>
          <w:sz w:val="21"/>
          <w:szCs w:val="21"/>
        </w:rPr>
        <w:t>（2）主要服务内容与基本要求</w:t>
      </w:r>
    </w:p>
    <w:p>
      <w:pPr>
        <w:spacing w:line="288" w:lineRule="auto"/>
        <w:ind w:firstLine="420" w:firstLineChars="200"/>
        <w:rPr>
          <w:rFonts w:ascii="宋体" w:hAnsi="宋体" w:cs="宋体"/>
          <w:sz w:val="21"/>
          <w:szCs w:val="21"/>
        </w:rPr>
      </w:pPr>
      <w:r>
        <w:rPr>
          <w:rFonts w:hint="eastAsia" w:ascii="宋体" w:hAnsi="宋体" w:cs="宋体"/>
          <w:sz w:val="21"/>
          <w:szCs w:val="21"/>
        </w:rPr>
        <w:t>承担楼宇内公共区域及指定办公室卫生保洁，室外道路、非道路地面及其他构建物等卫生保洁工作。</w:t>
      </w:r>
    </w:p>
    <w:p>
      <w:pPr>
        <w:spacing w:line="288" w:lineRule="auto"/>
        <w:ind w:firstLine="420" w:firstLineChars="200"/>
        <w:rPr>
          <w:rFonts w:ascii="宋体" w:hAnsi="宋体" w:cs="宋体"/>
          <w:sz w:val="21"/>
          <w:szCs w:val="21"/>
        </w:rPr>
      </w:pPr>
      <w:r>
        <w:rPr>
          <w:rFonts w:hint="eastAsia" w:ascii="宋体" w:hAnsi="宋体" w:cs="宋体"/>
          <w:sz w:val="21"/>
          <w:szCs w:val="21"/>
        </w:rPr>
        <w:t>①办公楼内公共区域：</w:t>
      </w:r>
    </w:p>
    <w:p>
      <w:pPr>
        <w:spacing w:line="288" w:lineRule="auto"/>
        <w:ind w:firstLine="422" w:firstLineChars="200"/>
        <w:rPr>
          <w:rFonts w:ascii="宋体" w:hAnsi="宋体" w:cs="宋体"/>
          <w:sz w:val="21"/>
          <w:szCs w:val="21"/>
        </w:rPr>
      </w:pPr>
      <w:r>
        <w:rPr>
          <w:rFonts w:hint="eastAsia" w:ascii="宋体" w:hAnsi="宋体" w:cs="宋体"/>
          <w:b/>
          <w:sz w:val="21"/>
          <w:szCs w:val="21"/>
        </w:rPr>
        <w:t>循环巡查，随时保洁，保持公共区域目视无杂污物，整体干净明亮</w:t>
      </w:r>
      <w:r>
        <w:rPr>
          <w:rFonts w:hint="eastAsia" w:ascii="宋体" w:hAnsi="宋体" w:cs="宋体"/>
          <w:sz w:val="21"/>
          <w:szCs w:val="21"/>
        </w:rPr>
        <w:t>。具体要求如下：</w:t>
      </w:r>
    </w:p>
    <w:p>
      <w:pPr>
        <w:spacing w:line="288" w:lineRule="auto"/>
        <w:ind w:firstLine="420" w:firstLineChars="200"/>
        <w:rPr>
          <w:rFonts w:ascii="宋体" w:hAnsi="宋体" w:cs="宋体"/>
          <w:sz w:val="21"/>
          <w:szCs w:val="21"/>
        </w:rPr>
      </w:pPr>
      <w:r>
        <w:rPr>
          <w:rFonts w:hint="eastAsia" w:ascii="宋体" w:hAnsi="宋体" w:cs="宋体"/>
          <w:sz w:val="21"/>
          <w:szCs w:val="21"/>
        </w:rPr>
        <w:t>门厅、通道、地下室等地面、墙壁、天花板、门：保持地面无灰尘、污渍、杂物，工作日地面每天上、下午至少各清洁1次，上午保洁原则上应在上班前完成；保持墙壁、天花板、门无明显灰尘、蜘蛛网、脱落表皮，每月至少清扫1次；过道垃圾筒、烟灰筒等结合地面保洁同步清理。</w:t>
      </w:r>
    </w:p>
    <w:p>
      <w:pPr>
        <w:spacing w:line="288" w:lineRule="auto"/>
        <w:ind w:firstLine="420" w:firstLineChars="200"/>
        <w:rPr>
          <w:rFonts w:ascii="宋体" w:hAnsi="宋体" w:cs="宋体"/>
          <w:sz w:val="21"/>
          <w:szCs w:val="21"/>
        </w:rPr>
      </w:pPr>
      <w:r>
        <w:rPr>
          <w:rFonts w:hint="eastAsia" w:ascii="宋体" w:hAnsi="宋体" w:cs="宋体"/>
          <w:sz w:val="21"/>
          <w:szCs w:val="21"/>
        </w:rPr>
        <w:t>卫生间：</w:t>
      </w:r>
      <w:r>
        <w:rPr>
          <w:rFonts w:hint="eastAsia" w:ascii="宋体" w:hAnsi="宋体" w:cs="宋体"/>
          <w:b/>
          <w:sz w:val="21"/>
          <w:szCs w:val="21"/>
        </w:rPr>
        <w:t>保持卫生间地面、便池、坐便器/蹲坑、墙壁/隔板、洗手台、天花板、门窗干净、整洁，无异味、无积渍，特别关注会议室楼层厕所</w:t>
      </w:r>
      <w:r>
        <w:rPr>
          <w:rFonts w:hint="eastAsia" w:ascii="宋体" w:hAnsi="宋体" w:cs="宋体"/>
          <w:sz w:val="21"/>
          <w:szCs w:val="21"/>
        </w:rPr>
        <w:t>。地面、便池、坐便器/蹲坑工作日每天上、下午至少各保洁1次，地面干爽无积水，便池、坐便器/蹲坑无杂物、污垢；墙壁、隔板、天花板、门窗无明显灰尘、污渍、蜘蛛网等杂物，每月至少清洁1次；洗手台干爽、清洁无污渍，随时保洁，洗手液不空缺；厕纸少量多次投放，不浪费、无短缺。</w:t>
      </w:r>
    </w:p>
    <w:p>
      <w:pPr>
        <w:spacing w:line="288" w:lineRule="auto"/>
        <w:ind w:firstLine="420" w:firstLineChars="200"/>
        <w:rPr>
          <w:rFonts w:ascii="宋体" w:hAnsi="宋体" w:cs="宋体"/>
          <w:sz w:val="21"/>
          <w:szCs w:val="21"/>
        </w:rPr>
      </w:pPr>
      <w:r>
        <w:rPr>
          <w:rFonts w:hint="eastAsia" w:ascii="宋体" w:hAnsi="宋体" w:cs="宋体"/>
          <w:sz w:val="21"/>
          <w:szCs w:val="21"/>
        </w:rPr>
        <w:t>楼梯：保持楼梯清洁无灰尘、无蜘蛛网等。楼梯地面及扶手工作日每天上、下午至少各清洁1次。楼梯窗户至少每季清洁1次。</w:t>
      </w:r>
    </w:p>
    <w:p>
      <w:pPr>
        <w:spacing w:line="288" w:lineRule="auto"/>
        <w:ind w:firstLine="420" w:firstLineChars="200"/>
        <w:rPr>
          <w:rFonts w:ascii="宋体" w:hAnsi="宋体" w:cs="宋体"/>
          <w:sz w:val="21"/>
          <w:szCs w:val="21"/>
        </w:rPr>
      </w:pPr>
      <w:r>
        <w:rPr>
          <w:rFonts w:hint="eastAsia" w:ascii="宋体" w:hAnsi="宋体" w:cs="宋体"/>
          <w:sz w:val="21"/>
          <w:szCs w:val="21"/>
        </w:rPr>
        <w:t>电梯：保持电梯轿厢清洁、光亮，壁、顶、地面、按键等保洁频率同办公楼通道，同时检查电梯门滑轨槽，保持无异物；轿厢壁、顶等每季使用保护剂上光保护1次、每月清理出风口1次。</w:t>
      </w:r>
    </w:p>
    <w:p>
      <w:pPr>
        <w:spacing w:line="288" w:lineRule="auto"/>
        <w:ind w:firstLine="420" w:firstLineChars="200"/>
        <w:rPr>
          <w:rFonts w:ascii="宋体" w:hAnsi="宋体" w:cs="宋体"/>
          <w:sz w:val="21"/>
          <w:szCs w:val="21"/>
        </w:rPr>
      </w:pPr>
      <w:r>
        <w:rPr>
          <w:rFonts w:hint="eastAsia" w:ascii="宋体" w:hAnsi="宋体" w:cs="宋体"/>
          <w:sz w:val="21"/>
          <w:szCs w:val="21"/>
        </w:rPr>
        <w:t>办公楼顶排水沟、办公楼雨棚：楼顶排水沟每季巡查1次，保持清洁、排水通畅，台风季、初冬落叶集中季增加巡查、清理次数；办公楼雨棚原则上每季清洗1次，视实际清洁程序增加次数。</w:t>
      </w:r>
    </w:p>
    <w:p>
      <w:pPr>
        <w:spacing w:line="288" w:lineRule="auto"/>
        <w:ind w:firstLine="420" w:firstLineChars="200"/>
        <w:rPr>
          <w:rFonts w:ascii="宋体" w:hAnsi="宋体" w:cs="宋体"/>
          <w:sz w:val="21"/>
          <w:szCs w:val="21"/>
        </w:rPr>
      </w:pPr>
      <w:r>
        <w:rPr>
          <w:rFonts w:hint="eastAsia" w:ascii="宋体" w:hAnsi="宋体" w:cs="宋体"/>
          <w:sz w:val="21"/>
          <w:szCs w:val="21"/>
        </w:rPr>
        <w:t>②室外公共区域地面</w:t>
      </w:r>
    </w:p>
    <w:p>
      <w:pPr>
        <w:spacing w:line="288" w:lineRule="auto"/>
        <w:ind w:firstLine="420" w:firstLineChars="200"/>
        <w:rPr>
          <w:rFonts w:ascii="宋体" w:hAnsi="宋体" w:cs="宋体"/>
          <w:sz w:val="21"/>
          <w:szCs w:val="21"/>
        </w:rPr>
      </w:pPr>
      <w:r>
        <w:rPr>
          <w:rFonts w:hint="eastAsia" w:ascii="宋体" w:hAnsi="宋体" w:cs="宋体"/>
          <w:sz w:val="21"/>
          <w:szCs w:val="21"/>
        </w:rPr>
        <w:t>保持室外公共区域干净整洁，具体要求如下：</w:t>
      </w:r>
    </w:p>
    <w:p>
      <w:pPr>
        <w:spacing w:line="288" w:lineRule="auto"/>
        <w:ind w:firstLine="420" w:firstLineChars="200"/>
        <w:rPr>
          <w:rFonts w:ascii="宋体" w:hAnsi="宋体" w:cs="宋体"/>
          <w:sz w:val="21"/>
          <w:szCs w:val="21"/>
        </w:rPr>
      </w:pPr>
      <w:r>
        <w:rPr>
          <w:rFonts w:hint="eastAsia" w:ascii="宋体" w:hAnsi="宋体" w:cs="宋体"/>
          <w:sz w:val="21"/>
          <w:szCs w:val="21"/>
        </w:rPr>
        <w:t>道路、停车场、建筑物周边等地面：保持地面整洁，无明显垃圾、树叶及其他杂物。每日清扫，其中办公区视地面清洁情况，增加清扫次数；路面杂草等随时拔除、清除，非生活垃圾及杂物当日清理至集中存放点。</w:t>
      </w:r>
    </w:p>
    <w:p>
      <w:pPr>
        <w:spacing w:line="288" w:lineRule="auto"/>
        <w:ind w:firstLine="420" w:firstLineChars="200"/>
        <w:rPr>
          <w:rFonts w:ascii="宋体" w:hAnsi="宋体" w:cs="宋体"/>
          <w:sz w:val="21"/>
          <w:szCs w:val="21"/>
        </w:rPr>
      </w:pPr>
      <w:r>
        <w:rPr>
          <w:rFonts w:hint="eastAsia" w:ascii="宋体" w:hAnsi="宋体" w:cs="宋体"/>
          <w:sz w:val="21"/>
          <w:szCs w:val="21"/>
        </w:rPr>
        <w:t>研究生公寓及流动公寓楼道：保持整洁，无杂物堆放，地面、扶手每周至少清扫、抹擦1次。墙壁、天花等每月除尘一次，无蜘蛛网。</w:t>
      </w:r>
    </w:p>
    <w:p>
      <w:pPr>
        <w:spacing w:line="288" w:lineRule="auto"/>
        <w:ind w:firstLine="420" w:firstLineChars="200"/>
        <w:rPr>
          <w:rFonts w:ascii="宋体" w:hAnsi="宋体" w:cs="宋体"/>
          <w:sz w:val="21"/>
          <w:szCs w:val="21"/>
        </w:rPr>
      </w:pPr>
      <w:r>
        <w:rPr>
          <w:rFonts w:hint="eastAsia" w:ascii="宋体" w:hAnsi="宋体" w:cs="宋体"/>
          <w:sz w:val="21"/>
          <w:szCs w:val="21"/>
        </w:rPr>
        <w:t>绿地：保持院区绿地、路边绿化带整洁无杂物。结合地面清扫，清理绿地、绿化带上垃圾、枝叶等杂物，秋冬落叶季增加办公区草坪、绿地落叶清扫频次。</w:t>
      </w:r>
    </w:p>
    <w:p>
      <w:pPr>
        <w:spacing w:line="288" w:lineRule="auto"/>
        <w:ind w:firstLine="420" w:firstLineChars="200"/>
        <w:rPr>
          <w:rFonts w:ascii="宋体" w:hAnsi="宋体" w:cs="宋体"/>
          <w:sz w:val="21"/>
          <w:szCs w:val="21"/>
        </w:rPr>
      </w:pPr>
      <w:r>
        <w:rPr>
          <w:rFonts w:hint="eastAsia" w:ascii="宋体" w:hAnsi="宋体" w:cs="宋体"/>
          <w:sz w:val="21"/>
          <w:szCs w:val="21"/>
        </w:rPr>
        <w:t>③其他构筑物</w:t>
      </w:r>
    </w:p>
    <w:p>
      <w:pPr>
        <w:spacing w:line="288" w:lineRule="auto"/>
        <w:ind w:firstLine="420" w:firstLineChars="200"/>
        <w:rPr>
          <w:rFonts w:ascii="宋体" w:hAnsi="宋体" w:cs="宋体"/>
          <w:sz w:val="21"/>
          <w:szCs w:val="21"/>
        </w:rPr>
      </w:pPr>
      <w:r>
        <w:rPr>
          <w:rFonts w:hint="eastAsia" w:ascii="宋体" w:hAnsi="宋体" w:cs="宋体"/>
          <w:sz w:val="21"/>
          <w:szCs w:val="21"/>
        </w:rPr>
        <w:t>保持院区其他构筑物整洁，具体要求如下：</w:t>
      </w:r>
    </w:p>
    <w:p>
      <w:pPr>
        <w:spacing w:line="288" w:lineRule="auto"/>
        <w:ind w:firstLine="420" w:firstLineChars="200"/>
        <w:rPr>
          <w:rFonts w:ascii="宋体" w:hAnsi="宋体" w:cs="宋体"/>
          <w:sz w:val="21"/>
          <w:szCs w:val="21"/>
        </w:rPr>
      </w:pPr>
      <w:r>
        <w:rPr>
          <w:rFonts w:hint="eastAsia" w:ascii="宋体" w:hAnsi="宋体" w:cs="宋体"/>
          <w:sz w:val="21"/>
          <w:szCs w:val="21"/>
        </w:rPr>
        <w:t>车棚：停车棚顶每季清扫至少1次，无明显枝叶或杂物堆积。</w:t>
      </w:r>
    </w:p>
    <w:p>
      <w:pPr>
        <w:spacing w:line="288" w:lineRule="auto"/>
        <w:ind w:firstLine="420" w:firstLineChars="200"/>
        <w:rPr>
          <w:rFonts w:ascii="宋体" w:hAnsi="宋体" w:cs="宋体"/>
          <w:sz w:val="21"/>
          <w:szCs w:val="21"/>
        </w:rPr>
      </w:pPr>
      <w:r>
        <w:rPr>
          <w:rFonts w:hint="eastAsia" w:ascii="宋体" w:hAnsi="宋体" w:cs="宋体"/>
          <w:sz w:val="21"/>
          <w:szCs w:val="21"/>
        </w:rPr>
        <w:t>排水沟渠：保持管理区排水明沟渠通畅，每年至少清理2次，其中雨季前必须清理1次；排水沟渠相邻边坡杂生植物每年清理至少2次（初夏、秋季）。</w:t>
      </w:r>
    </w:p>
    <w:p>
      <w:pPr>
        <w:spacing w:line="288" w:lineRule="auto"/>
        <w:ind w:firstLine="420" w:firstLineChars="200"/>
        <w:rPr>
          <w:rFonts w:ascii="宋体" w:hAnsi="宋体" w:cs="宋体"/>
          <w:sz w:val="21"/>
          <w:szCs w:val="21"/>
        </w:rPr>
      </w:pPr>
      <w:r>
        <w:rPr>
          <w:rFonts w:hint="eastAsia" w:ascii="宋体" w:hAnsi="宋体" w:cs="宋体"/>
          <w:sz w:val="21"/>
          <w:szCs w:val="21"/>
        </w:rPr>
        <w:t>宣传橱窗：保持宣传橱窗干净整齐，每季至少擦抹玻璃及立柱、清扫棚顶等1次。</w:t>
      </w:r>
    </w:p>
    <w:p>
      <w:pPr>
        <w:spacing w:line="288" w:lineRule="auto"/>
        <w:ind w:firstLine="420" w:firstLineChars="200"/>
        <w:rPr>
          <w:rFonts w:ascii="宋体" w:hAnsi="宋体" w:cs="宋体"/>
          <w:sz w:val="21"/>
          <w:szCs w:val="21"/>
        </w:rPr>
      </w:pPr>
      <w:r>
        <w:rPr>
          <w:rFonts w:hint="eastAsia" w:ascii="宋体" w:hAnsi="宋体" w:cs="宋体"/>
          <w:sz w:val="21"/>
          <w:szCs w:val="21"/>
        </w:rPr>
        <w:t>④垃圾分类及四害防控</w:t>
      </w:r>
    </w:p>
    <w:p>
      <w:pPr>
        <w:spacing w:line="288" w:lineRule="auto"/>
        <w:ind w:firstLine="420" w:firstLineChars="200"/>
        <w:rPr>
          <w:rFonts w:ascii="宋体" w:hAnsi="宋体" w:cs="宋体"/>
          <w:sz w:val="21"/>
          <w:szCs w:val="21"/>
        </w:rPr>
      </w:pPr>
      <w:r>
        <w:rPr>
          <w:rFonts w:hint="eastAsia" w:ascii="宋体" w:hAnsi="宋体" w:cs="宋体"/>
          <w:sz w:val="21"/>
          <w:szCs w:val="21"/>
        </w:rPr>
        <w:t>严格落实垃圾分类管理规定和四害防控要求，协助做好非生活及其他大件垃圾清运，做好除大件非生活垃圾外的其他垃圾分类清运及四害防控，具体要求如下：</w:t>
      </w:r>
    </w:p>
    <w:p>
      <w:pPr>
        <w:spacing w:line="288" w:lineRule="auto"/>
        <w:ind w:firstLine="420" w:firstLineChars="200"/>
        <w:rPr>
          <w:rFonts w:ascii="宋体" w:hAnsi="宋体" w:cs="宋体"/>
          <w:sz w:val="21"/>
          <w:szCs w:val="21"/>
        </w:rPr>
      </w:pPr>
      <w:r>
        <w:rPr>
          <w:rFonts w:hint="eastAsia" w:ascii="宋体" w:hAnsi="宋体" w:cs="宋体"/>
          <w:sz w:val="21"/>
          <w:szCs w:val="21"/>
        </w:rPr>
        <w:t>研究生及流动公寓生活垃圾：实行定时定点投放，按规定分类处理，日产日清。生活垃圾桶每日清洗。</w:t>
      </w:r>
    </w:p>
    <w:p>
      <w:pPr>
        <w:spacing w:line="288" w:lineRule="auto"/>
        <w:ind w:firstLine="422" w:firstLineChars="200"/>
        <w:rPr>
          <w:rFonts w:ascii="宋体" w:hAnsi="宋体" w:cs="宋体"/>
          <w:color w:val="000000" w:themeColor="text1"/>
          <w:sz w:val="21"/>
          <w:szCs w:val="21"/>
          <w14:textFill>
            <w14:solidFill>
              <w14:schemeClr w14:val="tx1"/>
            </w14:solidFill>
          </w14:textFill>
        </w:rPr>
      </w:pPr>
      <w:r>
        <w:rPr>
          <w:rFonts w:hint="eastAsia" w:ascii="宋体" w:hAnsi="宋体" w:cs="宋体"/>
          <w:b/>
          <w:sz w:val="21"/>
          <w:szCs w:val="21"/>
        </w:rPr>
        <w:t>办公区垃圾：规范设置分类垃圾桶及相应标识，工作日日产日清，重大活动随时清理。</w:t>
      </w:r>
      <w:r>
        <w:rPr>
          <w:rFonts w:hint="eastAsia" w:ascii="宋体" w:hAnsi="宋体" w:cs="宋体"/>
          <w:b/>
          <w:color w:val="000000" w:themeColor="text1"/>
          <w:sz w:val="21"/>
          <w:szCs w:val="21"/>
          <w14:textFill>
            <w14:solidFill>
              <w14:schemeClr w14:val="tx1"/>
            </w14:solidFill>
          </w14:textFill>
        </w:rPr>
        <w:t>周末及节假日安排保洁值班，不出现满桶、外逸及散落。</w:t>
      </w:r>
    </w:p>
    <w:p>
      <w:pPr>
        <w:spacing w:line="288" w:lineRule="auto"/>
        <w:ind w:firstLine="420" w:firstLineChars="200"/>
        <w:rPr>
          <w:rFonts w:ascii="宋体" w:hAnsi="宋体" w:cs="宋体"/>
          <w:sz w:val="21"/>
          <w:szCs w:val="21"/>
        </w:rPr>
      </w:pPr>
      <w:r>
        <w:rPr>
          <w:rFonts w:hint="eastAsia" w:ascii="宋体" w:hAnsi="宋体" w:cs="宋体"/>
          <w:sz w:val="21"/>
          <w:szCs w:val="21"/>
        </w:rPr>
        <w:t>垃圾房：保持垃圾房内及周边干净整齐，地面清爽无积水、无明显污渍。室内不得存放除垃圾桶及清洁用具外的其他物品。</w:t>
      </w:r>
    </w:p>
    <w:p>
      <w:pPr>
        <w:spacing w:line="288" w:lineRule="auto"/>
        <w:ind w:firstLine="420" w:firstLineChars="200"/>
        <w:rPr>
          <w:rFonts w:ascii="宋体" w:hAnsi="宋体" w:cs="宋体"/>
          <w:sz w:val="21"/>
          <w:szCs w:val="21"/>
        </w:rPr>
      </w:pPr>
      <w:r>
        <w:rPr>
          <w:rFonts w:hint="eastAsia" w:ascii="宋体" w:hAnsi="宋体" w:cs="宋体"/>
          <w:sz w:val="21"/>
          <w:szCs w:val="21"/>
        </w:rPr>
        <w:t>四害防控：按社区及疾控等部门及所后勤中心要求，组织白蚁防控及老鼠、蟑螂、蚊子、苍蝇等“四害”防治。发现公共卫生事件时，在地方疾控及亚林所后勤中心等指导下组织实施消毒隔离等措施。</w:t>
      </w:r>
    </w:p>
    <w:p>
      <w:pPr>
        <w:spacing w:line="288" w:lineRule="auto"/>
        <w:ind w:firstLine="420" w:firstLineChars="200"/>
        <w:rPr>
          <w:rFonts w:ascii="宋体" w:hAnsi="宋体" w:cs="宋体"/>
          <w:sz w:val="21"/>
          <w:szCs w:val="21"/>
        </w:rPr>
      </w:pPr>
      <w:r>
        <w:rPr>
          <w:rFonts w:hint="eastAsia" w:ascii="宋体" w:hAnsi="宋体" w:cs="宋体"/>
          <w:sz w:val="21"/>
          <w:szCs w:val="21"/>
        </w:rPr>
        <w:t>⑤其他</w:t>
      </w:r>
    </w:p>
    <w:p>
      <w:pPr>
        <w:spacing w:line="288" w:lineRule="auto"/>
        <w:ind w:firstLine="420" w:firstLineChars="200"/>
        <w:rPr>
          <w:rFonts w:ascii="宋体" w:hAnsi="宋体" w:cs="宋体"/>
          <w:sz w:val="21"/>
          <w:szCs w:val="21"/>
        </w:rPr>
      </w:pPr>
      <w:r>
        <w:rPr>
          <w:rFonts w:hint="eastAsia" w:ascii="宋体" w:hAnsi="宋体" w:cs="宋体"/>
          <w:sz w:val="21"/>
          <w:szCs w:val="21"/>
        </w:rPr>
        <w:t>按亚林所后勤中心要求，做好其他临时性、突发性卫生保洁及相关工作。</w:t>
      </w:r>
    </w:p>
    <w:p>
      <w:pPr>
        <w:spacing w:line="288" w:lineRule="auto"/>
        <w:ind w:firstLine="422" w:firstLineChars="200"/>
        <w:rPr>
          <w:rFonts w:ascii="宋体" w:hAnsi="宋体" w:cs="宋体"/>
          <w:b/>
          <w:sz w:val="21"/>
          <w:szCs w:val="21"/>
        </w:rPr>
      </w:pPr>
      <w:r>
        <w:rPr>
          <w:rFonts w:hint="eastAsia" w:ascii="宋体" w:hAnsi="宋体" w:cs="宋体"/>
          <w:b/>
          <w:sz w:val="21"/>
          <w:szCs w:val="21"/>
        </w:rPr>
        <w:t>4）会务服务</w:t>
      </w:r>
    </w:p>
    <w:p>
      <w:pPr>
        <w:spacing w:line="288" w:lineRule="auto"/>
        <w:ind w:firstLine="420" w:firstLineChars="200"/>
        <w:rPr>
          <w:rFonts w:ascii="宋体" w:hAnsi="宋体" w:cs="宋体"/>
          <w:sz w:val="21"/>
          <w:szCs w:val="21"/>
        </w:rPr>
      </w:pPr>
      <w:r>
        <w:rPr>
          <w:rFonts w:hint="eastAsia" w:ascii="宋体" w:hAnsi="宋体" w:cs="宋体"/>
          <w:sz w:val="21"/>
          <w:szCs w:val="21"/>
        </w:rPr>
        <w:t>（1）会务人员不低于1人</w:t>
      </w:r>
    </w:p>
    <w:p>
      <w:pPr>
        <w:spacing w:line="288" w:lineRule="auto"/>
        <w:ind w:firstLine="420" w:firstLineChars="200"/>
        <w:rPr>
          <w:rFonts w:ascii="宋体" w:hAnsi="宋体" w:cs="宋体"/>
          <w:sz w:val="21"/>
          <w:szCs w:val="21"/>
        </w:rPr>
      </w:pPr>
      <w:r>
        <w:rPr>
          <w:rFonts w:hint="eastAsia" w:ascii="宋体" w:hAnsi="宋体" w:cs="宋体"/>
          <w:sz w:val="21"/>
          <w:szCs w:val="21"/>
        </w:rPr>
        <w:t>（2）会务人员基本要求</w:t>
      </w:r>
    </w:p>
    <w:p>
      <w:pPr>
        <w:spacing w:line="288" w:lineRule="auto"/>
        <w:ind w:firstLine="420" w:firstLineChars="200"/>
        <w:rPr>
          <w:rFonts w:ascii="宋体" w:hAnsi="宋体" w:cs="宋体"/>
          <w:sz w:val="21"/>
          <w:szCs w:val="21"/>
        </w:rPr>
      </w:pPr>
      <w:r>
        <w:rPr>
          <w:rFonts w:hint="eastAsia" w:ascii="宋体" w:hAnsi="宋体" w:cs="宋体"/>
          <w:sz w:val="21"/>
          <w:szCs w:val="21"/>
        </w:rPr>
        <w:t>女性，身高150cm以上，年龄原则上不超过55周岁、高中以上文化水平，细心热情，仪表端庄、举止文明、知晓相关礼仪，有保密意识，接受专业培训。严格按会务服务工作手册开展服务。</w:t>
      </w:r>
    </w:p>
    <w:p>
      <w:pPr>
        <w:spacing w:line="288" w:lineRule="auto"/>
        <w:ind w:firstLine="420" w:firstLineChars="200"/>
        <w:rPr>
          <w:rFonts w:ascii="宋体" w:hAnsi="宋体" w:cs="宋体"/>
          <w:sz w:val="21"/>
          <w:szCs w:val="21"/>
        </w:rPr>
      </w:pPr>
      <w:r>
        <w:rPr>
          <w:rFonts w:hint="eastAsia" w:ascii="宋体" w:hAnsi="宋体" w:cs="宋体"/>
          <w:sz w:val="21"/>
          <w:szCs w:val="21"/>
        </w:rPr>
        <w:t>会务人员选聘应会同亚林所综合办、后勤中心共同商定；会务员由服务企业与后勤中共同管理；会务人员需保持稳定，不宜频繁变动。</w:t>
      </w:r>
    </w:p>
    <w:p>
      <w:pPr>
        <w:spacing w:line="288" w:lineRule="auto"/>
        <w:ind w:firstLine="420" w:firstLineChars="200"/>
        <w:rPr>
          <w:rFonts w:ascii="宋体" w:hAnsi="宋体" w:cs="宋体"/>
          <w:sz w:val="21"/>
          <w:szCs w:val="21"/>
        </w:rPr>
      </w:pPr>
      <w:r>
        <w:rPr>
          <w:rFonts w:hint="eastAsia" w:ascii="宋体" w:hAnsi="宋体" w:cs="宋体"/>
          <w:sz w:val="21"/>
          <w:szCs w:val="21"/>
        </w:rPr>
        <w:t>（3）会务服务内容与基本要求</w:t>
      </w:r>
    </w:p>
    <w:p>
      <w:pPr>
        <w:spacing w:line="288" w:lineRule="auto"/>
        <w:ind w:firstLine="420" w:firstLineChars="200"/>
        <w:rPr>
          <w:rFonts w:ascii="宋体" w:hAnsi="宋体" w:cs="宋体"/>
          <w:sz w:val="21"/>
          <w:szCs w:val="21"/>
        </w:rPr>
      </w:pPr>
      <w:r>
        <w:rPr>
          <w:rFonts w:hint="eastAsia" w:ascii="宋体" w:hAnsi="宋体" w:cs="宋体"/>
          <w:sz w:val="21"/>
          <w:szCs w:val="21"/>
        </w:rPr>
        <w:t>所部办公区公共会议室的会务服务，包括会议室卫生保洁（含门窗、玻璃）、会议室桌椅排放、茶水服务、会务音响系统使用等。具体要求如下：</w:t>
      </w:r>
    </w:p>
    <w:p>
      <w:pPr>
        <w:spacing w:line="288" w:lineRule="auto"/>
        <w:ind w:firstLine="420" w:firstLineChars="200"/>
        <w:rPr>
          <w:rFonts w:ascii="宋体" w:hAnsi="宋体" w:cs="宋体"/>
          <w:sz w:val="21"/>
          <w:szCs w:val="21"/>
        </w:rPr>
      </w:pPr>
      <w:r>
        <w:rPr>
          <w:rFonts w:hint="eastAsia" w:ascii="宋体" w:hAnsi="宋体" w:cs="宋体"/>
          <w:sz w:val="21"/>
          <w:szCs w:val="21"/>
        </w:rPr>
        <w:t>保持会议室清洁、整齐、无异味，会议用品齐全、功能完好；</w:t>
      </w:r>
    </w:p>
    <w:p>
      <w:pPr>
        <w:spacing w:line="288" w:lineRule="auto"/>
        <w:ind w:firstLine="420" w:firstLineChars="200"/>
        <w:rPr>
          <w:rFonts w:ascii="宋体" w:hAnsi="宋体" w:cs="宋体"/>
          <w:sz w:val="21"/>
          <w:szCs w:val="21"/>
        </w:rPr>
      </w:pPr>
      <w:r>
        <w:rPr>
          <w:rFonts w:hint="eastAsia" w:ascii="宋体" w:hAnsi="宋体" w:cs="宋体"/>
          <w:sz w:val="21"/>
          <w:szCs w:val="21"/>
        </w:rPr>
        <w:t>建立会议室使用记录档案。</w:t>
      </w:r>
    </w:p>
    <w:p>
      <w:pPr>
        <w:spacing w:line="288" w:lineRule="auto"/>
        <w:ind w:firstLine="420" w:firstLineChars="200"/>
        <w:rPr>
          <w:rFonts w:ascii="宋体" w:hAnsi="宋体" w:cs="宋体"/>
          <w:sz w:val="21"/>
          <w:szCs w:val="21"/>
        </w:rPr>
      </w:pPr>
      <w:r>
        <w:rPr>
          <w:rFonts w:hint="eastAsia" w:ascii="宋体" w:hAnsi="宋体" w:cs="宋体"/>
          <w:sz w:val="21"/>
          <w:szCs w:val="21"/>
        </w:rPr>
        <w:t>保守会议机密，在会议前要了解该会议的保密程度，以决定如何参与会议的服务。</w:t>
      </w:r>
    </w:p>
    <w:p>
      <w:pPr>
        <w:spacing w:line="288" w:lineRule="auto"/>
        <w:ind w:firstLine="420" w:firstLineChars="200"/>
        <w:rPr>
          <w:rFonts w:ascii="宋体" w:hAnsi="宋体" w:cs="宋体"/>
          <w:sz w:val="21"/>
          <w:szCs w:val="21"/>
        </w:rPr>
      </w:pPr>
      <w:r>
        <w:rPr>
          <w:rFonts w:hint="eastAsia" w:ascii="宋体" w:hAnsi="宋体" w:cs="宋体"/>
          <w:sz w:val="21"/>
          <w:szCs w:val="21"/>
        </w:rPr>
        <w:t>会前提前检查会议室桌椅、话筒、照明、投影等，开门通风；会间根据会议类别提供相应茶水服务；会后及时清理会议桌面，打扫卫生，关闭供电、门窗等。</w:t>
      </w:r>
    </w:p>
    <w:p>
      <w:pPr>
        <w:spacing w:line="288" w:lineRule="auto"/>
        <w:ind w:firstLine="420" w:firstLineChars="200"/>
        <w:rPr>
          <w:rFonts w:ascii="宋体" w:hAnsi="宋体" w:cs="宋体"/>
          <w:sz w:val="21"/>
          <w:szCs w:val="21"/>
        </w:rPr>
      </w:pPr>
      <w:r>
        <w:rPr>
          <w:rFonts w:hint="eastAsia" w:ascii="宋体" w:hAnsi="宋体" w:cs="宋体"/>
          <w:sz w:val="21"/>
          <w:szCs w:val="21"/>
        </w:rPr>
        <w:t>每月全面清扫会议室墙壁、门窗等1次，保持室内无明显积尘、蜘蛛网及其他杂污物；每年清洗桌布、窗帘一次。</w:t>
      </w:r>
    </w:p>
    <w:p>
      <w:pPr>
        <w:spacing w:line="288" w:lineRule="auto"/>
        <w:ind w:firstLine="420" w:firstLineChars="200"/>
        <w:rPr>
          <w:rFonts w:ascii="宋体" w:hAnsi="宋体" w:cs="宋体"/>
          <w:sz w:val="21"/>
          <w:szCs w:val="21"/>
        </w:rPr>
      </w:pPr>
      <w:r>
        <w:rPr>
          <w:rFonts w:hint="eastAsia" w:ascii="宋体" w:hAnsi="宋体" w:cs="宋体"/>
          <w:sz w:val="21"/>
          <w:szCs w:val="21"/>
        </w:rPr>
        <w:t>重复使用茶杯具等</w:t>
      </w:r>
      <w:r>
        <w:rPr>
          <w:rFonts w:hint="eastAsia" w:ascii="宋体" w:hAnsi="宋体" w:cs="宋体"/>
          <w:b/>
          <w:sz w:val="21"/>
          <w:szCs w:val="21"/>
        </w:rPr>
        <w:t>每次</w:t>
      </w:r>
      <w:r>
        <w:rPr>
          <w:rFonts w:hint="eastAsia" w:ascii="宋体" w:hAnsi="宋体" w:cs="宋体"/>
          <w:sz w:val="21"/>
          <w:szCs w:val="21"/>
        </w:rPr>
        <w:t>清洗干净、消毒。</w:t>
      </w:r>
    </w:p>
    <w:p>
      <w:pPr>
        <w:spacing w:line="288" w:lineRule="auto"/>
        <w:ind w:firstLine="420" w:firstLineChars="200"/>
        <w:rPr>
          <w:rFonts w:ascii="宋体" w:hAnsi="宋体" w:cs="宋体"/>
          <w:sz w:val="21"/>
          <w:szCs w:val="21"/>
        </w:rPr>
      </w:pPr>
      <w:r>
        <w:rPr>
          <w:rFonts w:hint="eastAsia" w:ascii="宋体" w:hAnsi="宋体" w:cs="宋体"/>
          <w:sz w:val="21"/>
          <w:szCs w:val="21"/>
        </w:rPr>
        <w:t>重大活动或会议参与会场布置和会后清理。</w:t>
      </w:r>
    </w:p>
    <w:p>
      <w:pPr>
        <w:spacing w:line="288" w:lineRule="auto"/>
        <w:ind w:firstLine="396" w:firstLineChars="200"/>
        <w:rPr>
          <w:rFonts w:ascii="宋体" w:hAnsi="宋体" w:cs="宋体"/>
          <w:b/>
          <w:sz w:val="21"/>
          <w:szCs w:val="21"/>
        </w:rPr>
      </w:pPr>
      <w:r>
        <w:rPr>
          <w:rFonts w:hint="eastAsia" w:ascii="宋体" w:hAnsi="宋体"/>
          <w:spacing w:val="-6"/>
          <w:sz w:val="21"/>
          <w:szCs w:val="21"/>
        </w:rPr>
        <w:t>▲</w:t>
      </w:r>
      <w:r>
        <w:rPr>
          <w:rFonts w:hint="eastAsia" w:ascii="宋体" w:hAnsi="宋体" w:cs="宋体"/>
          <w:b/>
          <w:sz w:val="21"/>
          <w:szCs w:val="21"/>
        </w:rPr>
        <w:t>4、监督考评</w:t>
      </w:r>
    </w:p>
    <w:p>
      <w:pPr>
        <w:spacing w:line="288" w:lineRule="auto"/>
        <w:ind w:firstLine="422" w:firstLineChars="200"/>
        <w:rPr>
          <w:rFonts w:hint="eastAsia" w:ascii="宋体" w:hAnsi="宋体" w:eastAsia="宋体" w:cs="宋体"/>
          <w:b/>
          <w:sz w:val="21"/>
          <w:szCs w:val="21"/>
          <w:lang w:eastAsia="zh-CN"/>
        </w:rPr>
      </w:pPr>
      <w:r>
        <w:rPr>
          <w:rFonts w:hint="eastAsia" w:ascii="宋体" w:hAnsi="宋体" w:eastAsia="宋体" w:cs="宋体"/>
          <w:b/>
          <w:sz w:val="21"/>
          <w:szCs w:val="21"/>
        </w:rPr>
        <w:t>物业履约考评采用计分制，由日常监督和综合评价组成，满分100分，其中日常监督占15%，综合评价点85%。另设附加分及否决项。年度考核总分低于（含）70分，不再续签服务合同，高于70分（不含）可在本次招标有效期内续签合同</w:t>
      </w:r>
      <w:r>
        <w:rPr>
          <w:rFonts w:hint="eastAsia" w:ascii="宋体" w:hAnsi="宋体" w:eastAsia="宋体" w:cs="宋体"/>
          <w:b/>
          <w:sz w:val="21"/>
          <w:szCs w:val="21"/>
          <w:lang w:eastAsia="zh-CN"/>
        </w:rPr>
        <w:t>。</w:t>
      </w:r>
    </w:p>
    <w:p>
      <w:pPr>
        <w:spacing w:line="288" w:lineRule="auto"/>
        <w:ind w:firstLine="420" w:firstLineChars="200"/>
        <w:rPr>
          <w:rFonts w:ascii="宋体" w:hAnsi="宋体" w:cs="宋体"/>
          <w:sz w:val="21"/>
          <w:szCs w:val="21"/>
        </w:rPr>
      </w:pPr>
      <w:r>
        <w:rPr>
          <w:rFonts w:hint="eastAsia" w:ascii="宋体" w:hAnsi="宋体" w:cs="宋体"/>
          <w:sz w:val="21"/>
          <w:szCs w:val="21"/>
        </w:rPr>
        <w:t>1）日常监督：后勤中心及物业监督工作组负责物业服务企业履约日常监督，及时反馈整改或提升意见建议，不定期约谈负责人，推进高质量履约。</w:t>
      </w:r>
    </w:p>
    <w:p>
      <w:pPr>
        <w:spacing w:line="288" w:lineRule="auto"/>
        <w:ind w:firstLine="420" w:firstLineChars="200"/>
        <w:rPr>
          <w:rFonts w:ascii="宋体" w:hAnsi="宋体" w:cs="宋体"/>
          <w:sz w:val="21"/>
          <w:szCs w:val="21"/>
        </w:rPr>
      </w:pPr>
      <w:r>
        <w:rPr>
          <w:rFonts w:hint="eastAsia" w:ascii="宋体" w:hAnsi="宋体" w:cs="宋体"/>
          <w:sz w:val="21"/>
          <w:szCs w:val="21"/>
        </w:rPr>
        <w:t>2）综合评价：综合评价每年秋季进行，面向全所以问卷形式进行，评价内容对照服务合同，重点是服务质量和满意度。</w:t>
      </w:r>
    </w:p>
    <w:p>
      <w:pPr>
        <w:spacing w:line="288" w:lineRule="auto"/>
        <w:ind w:firstLine="420" w:firstLineChars="200"/>
        <w:rPr>
          <w:rFonts w:ascii="宋体" w:hAnsi="宋体" w:cs="宋体"/>
          <w:sz w:val="21"/>
          <w:szCs w:val="21"/>
        </w:rPr>
      </w:pPr>
      <w:r>
        <w:rPr>
          <w:rFonts w:hint="eastAsia" w:ascii="宋体" w:hAnsi="宋体" w:cs="宋体"/>
          <w:sz w:val="21"/>
          <w:szCs w:val="21"/>
        </w:rPr>
        <w:t>3）附加分及否决项：服务重大活动、应对突发事件及承担额外重要安排事项等成效显著，视具体情况给予1-5分附加份/项，累计上限10分。</w:t>
      </w:r>
    </w:p>
    <w:p>
      <w:pPr>
        <w:adjustRightInd w:val="0"/>
        <w:snapToGrid w:val="0"/>
        <w:spacing w:line="288" w:lineRule="auto"/>
        <w:ind w:firstLine="420" w:firstLineChars="200"/>
        <w:rPr>
          <w:rFonts w:ascii="宋体" w:hAnsi="宋体" w:cs="宋体"/>
          <w:b/>
          <w:sz w:val="21"/>
          <w:szCs w:val="21"/>
        </w:rPr>
      </w:pPr>
      <w:r>
        <w:rPr>
          <w:rFonts w:hint="eastAsia" w:ascii="宋体" w:hAnsi="宋体" w:cs="宋体"/>
          <w:sz w:val="21"/>
          <w:szCs w:val="21"/>
        </w:rPr>
        <w:t>4）</w:t>
      </w:r>
      <w:r>
        <w:rPr>
          <w:rStyle w:val="30"/>
          <w:rFonts w:hint="eastAsia"/>
          <w:lang w:val="en-US" w:eastAsia="zh-CN"/>
        </w:rPr>
        <w:t>监督处罚：</w:t>
      </w:r>
      <w:r>
        <w:rPr>
          <w:rFonts w:hint="eastAsia" w:ascii="宋体" w:hAnsi="宋体" w:cs="宋体"/>
          <w:sz w:val="21"/>
          <w:szCs w:val="21"/>
        </w:rPr>
        <w:t>出现持续性未认真履约或经常性出现较明显瑕疵，当月扣1-3分；出现较明显工作失误，造成一定负</w:t>
      </w:r>
      <w:r>
        <w:rPr>
          <w:rFonts w:hint="eastAsia" w:ascii="宋体" w:hAnsi="宋体" w:eastAsia="宋体" w:cs="宋体"/>
          <w:sz w:val="21"/>
          <w:szCs w:val="21"/>
        </w:rPr>
        <w:t>面影响，扣3-5分/次；出现重大过失或失误，造成人身伤亡或重大财务损失，终止合同，并追究相应民事、刑事责任。因服务不到位导致的扣分，每1分按合同金额0.2%予以罚款，从当季服务费中扣除。</w:t>
      </w:r>
    </w:p>
    <w:p>
      <w:pPr>
        <w:widowControl/>
        <w:jc w:val="left"/>
        <w:rPr>
          <w:rFonts w:ascii="宋体" w:hAnsi="宋体"/>
          <w:sz w:val="24"/>
        </w:rPr>
      </w:pPr>
      <w:r>
        <w:rPr>
          <w:rFonts w:ascii="宋体" w:hAnsi="宋体"/>
          <w:sz w:val="21"/>
          <w:szCs w:val="21"/>
        </w:rPr>
        <w:br w:type="page"/>
      </w:r>
    </w:p>
    <w:p>
      <w:pPr>
        <w:adjustRightInd w:val="0"/>
        <w:snapToGrid w:val="0"/>
        <w:spacing w:line="288" w:lineRule="auto"/>
        <w:jc w:val="center"/>
        <w:outlineLvl w:val="0"/>
        <w:rPr>
          <w:rFonts w:ascii="宋体" w:hAnsi="宋体"/>
          <w:sz w:val="32"/>
          <w:szCs w:val="32"/>
        </w:rPr>
      </w:pPr>
      <w:r>
        <w:rPr>
          <w:rFonts w:hint="eastAsia" w:ascii="宋体" w:hAnsi="宋体"/>
          <w:b/>
          <w:sz w:val="32"/>
          <w:szCs w:val="32"/>
        </w:rPr>
        <w:t>第三章  投标人须知</w:t>
      </w:r>
    </w:p>
    <w:p>
      <w:pPr>
        <w:adjustRightInd w:val="0"/>
        <w:snapToGrid w:val="0"/>
        <w:spacing w:line="288" w:lineRule="auto"/>
        <w:ind w:left="238"/>
        <w:jc w:val="center"/>
        <w:rPr>
          <w:rFonts w:ascii="宋体" w:hAnsi="宋体"/>
          <w:b/>
          <w:sz w:val="21"/>
          <w:szCs w:val="21"/>
        </w:rPr>
      </w:pPr>
      <w:r>
        <w:rPr>
          <w:rFonts w:hint="eastAsia" w:ascii="宋体" w:hAnsi="宋体"/>
          <w:b/>
          <w:sz w:val="21"/>
          <w:szCs w:val="21"/>
        </w:rPr>
        <w:t>投标人</w:t>
      </w:r>
      <w:r>
        <w:rPr>
          <w:rFonts w:ascii="宋体" w:hAnsi="宋体"/>
          <w:b/>
          <w:sz w:val="21"/>
          <w:szCs w:val="21"/>
        </w:rPr>
        <w:t>须知</w:t>
      </w:r>
      <w:r>
        <w:rPr>
          <w:rFonts w:hint="eastAsia" w:ascii="宋体" w:hAnsi="宋体"/>
          <w:b/>
          <w:sz w:val="21"/>
          <w:szCs w:val="21"/>
        </w:rPr>
        <w:t>前附表</w:t>
      </w:r>
    </w:p>
    <w:tbl>
      <w:tblPr>
        <w:tblStyle w:val="24"/>
        <w:tblW w:w="949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9"/>
        <w:gridCol w:w="1701"/>
        <w:gridCol w:w="66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129" w:type="dxa"/>
            <w:vAlign w:val="center"/>
          </w:tcPr>
          <w:p>
            <w:pPr>
              <w:adjustRightInd w:val="0"/>
              <w:snapToGrid w:val="0"/>
              <w:spacing w:line="288" w:lineRule="auto"/>
              <w:jc w:val="center"/>
              <w:rPr>
                <w:rFonts w:ascii="宋体" w:hAnsi="宋体"/>
                <w:b/>
                <w:bCs/>
                <w:sz w:val="21"/>
                <w:szCs w:val="21"/>
              </w:rPr>
            </w:pPr>
            <w:r>
              <w:rPr>
                <w:rFonts w:hint="eastAsia" w:ascii="宋体" w:hAnsi="宋体"/>
                <w:b/>
                <w:bCs/>
                <w:sz w:val="21"/>
                <w:szCs w:val="21"/>
              </w:rPr>
              <w:t>条款号</w:t>
            </w:r>
          </w:p>
        </w:tc>
        <w:tc>
          <w:tcPr>
            <w:tcW w:w="1701" w:type="dxa"/>
            <w:vAlign w:val="center"/>
          </w:tcPr>
          <w:p>
            <w:pPr>
              <w:adjustRightInd w:val="0"/>
              <w:snapToGrid w:val="0"/>
              <w:spacing w:line="288" w:lineRule="auto"/>
              <w:jc w:val="center"/>
              <w:rPr>
                <w:rFonts w:ascii="宋体" w:hAnsi="宋体"/>
                <w:b/>
                <w:bCs/>
                <w:sz w:val="21"/>
                <w:szCs w:val="21"/>
              </w:rPr>
            </w:pPr>
            <w:r>
              <w:rPr>
                <w:rFonts w:hint="eastAsia" w:ascii="宋体" w:hAnsi="宋体"/>
                <w:b/>
                <w:bCs/>
                <w:sz w:val="21"/>
                <w:szCs w:val="21"/>
              </w:rPr>
              <w:t>内容</w:t>
            </w:r>
          </w:p>
        </w:tc>
        <w:tc>
          <w:tcPr>
            <w:tcW w:w="6663" w:type="dxa"/>
            <w:vAlign w:val="center"/>
          </w:tcPr>
          <w:p>
            <w:pPr>
              <w:adjustRightInd w:val="0"/>
              <w:snapToGrid w:val="0"/>
              <w:spacing w:line="288" w:lineRule="auto"/>
              <w:jc w:val="center"/>
              <w:rPr>
                <w:rFonts w:ascii="宋体" w:hAnsi="宋体"/>
                <w:b/>
                <w:bCs/>
                <w:sz w:val="21"/>
                <w:szCs w:val="21"/>
              </w:rPr>
            </w:pPr>
            <w:r>
              <w:rPr>
                <w:rFonts w:hint="eastAsia" w:ascii="宋体" w:hAnsi="宋体"/>
                <w:b/>
                <w:bCs/>
                <w:sz w:val="21"/>
                <w:szCs w:val="21"/>
              </w:rPr>
              <w:t>说明与要求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129" w:type="dxa"/>
            <w:vAlign w:val="center"/>
          </w:tcPr>
          <w:p>
            <w:pPr>
              <w:adjustRightInd w:val="0"/>
              <w:snapToGrid w:val="0"/>
              <w:spacing w:line="288" w:lineRule="auto"/>
              <w:jc w:val="center"/>
              <w:rPr>
                <w:rFonts w:ascii="宋体" w:hAnsi="宋体"/>
                <w:sz w:val="21"/>
                <w:szCs w:val="21"/>
              </w:rPr>
            </w:pPr>
            <w:r>
              <w:rPr>
                <w:rFonts w:hint="eastAsia" w:ascii="宋体" w:hAnsi="宋体"/>
                <w:sz w:val="21"/>
                <w:szCs w:val="21"/>
              </w:rPr>
              <w:t>（一）</w:t>
            </w:r>
          </w:p>
        </w:tc>
        <w:tc>
          <w:tcPr>
            <w:tcW w:w="1701" w:type="dxa"/>
            <w:vAlign w:val="center"/>
          </w:tcPr>
          <w:p>
            <w:pPr>
              <w:adjustRightInd w:val="0"/>
              <w:snapToGrid w:val="0"/>
              <w:spacing w:line="288" w:lineRule="auto"/>
              <w:jc w:val="center"/>
              <w:rPr>
                <w:rFonts w:ascii="宋体" w:hAnsi="宋体"/>
                <w:sz w:val="21"/>
                <w:szCs w:val="21"/>
              </w:rPr>
            </w:pPr>
            <w:r>
              <w:rPr>
                <w:rFonts w:hint="eastAsia" w:ascii="宋体" w:hAnsi="宋体"/>
                <w:sz w:val="21"/>
                <w:szCs w:val="21"/>
              </w:rPr>
              <w:t>适用范围</w:t>
            </w:r>
          </w:p>
        </w:tc>
        <w:tc>
          <w:tcPr>
            <w:tcW w:w="6663" w:type="dxa"/>
            <w:vAlign w:val="center"/>
          </w:tcPr>
          <w:p>
            <w:pPr>
              <w:adjustRightInd w:val="0"/>
              <w:snapToGrid w:val="0"/>
              <w:spacing w:line="288" w:lineRule="auto"/>
              <w:rPr>
                <w:rFonts w:ascii="宋体" w:hAnsi="宋体"/>
                <w:sz w:val="21"/>
                <w:szCs w:val="21"/>
              </w:rPr>
            </w:pPr>
            <w:r>
              <w:rPr>
                <w:rFonts w:hint="eastAsia" w:ascii="宋体" w:hAnsi="宋体"/>
                <w:sz w:val="21"/>
                <w:szCs w:val="21"/>
              </w:rPr>
              <w:t>本招标文件适用于中国林业科学研究院亚热带林业研究所安全保洁物业服务</w:t>
            </w:r>
            <w:r>
              <w:rPr>
                <w:rFonts w:ascii="宋体" w:hAnsi="宋体"/>
                <w:sz w:val="21"/>
                <w:szCs w:val="21"/>
              </w:rPr>
              <w:t>的招标、评标、定标、验收、合同履约、付款等（法律、法规另有规定的，从其规定）。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129" w:type="dxa"/>
            <w:vAlign w:val="center"/>
          </w:tcPr>
          <w:p>
            <w:pPr>
              <w:adjustRightInd w:val="0"/>
              <w:snapToGrid w:val="0"/>
              <w:spacing w:line="288" w:lineRule="auto"/>
              <w:jc w:val="center"/>
              <w:rPr>
                <w:rFonts w:ascii="宋体" w:hAnsi="宋体"/>
                <w:sz w:val="21"/>
                <w:szCs w:val="21"/>
              </w:rPr>
            </w:pPr>
            <w:r>
              <w:rPr>
                <w:rFonts w:hint="eastAsia" w:ascii="宋体" w:hAnsi="宋体"/>
                <w:sz w:val="21"/>
                <w:szCs w:val="21"/>
              </w:rPr>
              <w:t>（二）</w:t>
            </w:r>
          </w:p>
        </w:tc>
        <w:tc>
          <w:tcPr>
            <w:tcW w:w="1701" w:type="dxa"/>
            <w:vAlign w:val="center"/>
          </w:tcPr>
          <w:p>
            <w:pPr>
              <w:adjustRightInd w:val="0"/>
              <w:snapToGrid w:val="0"/>
              <w:spacing w:line="288" w:lineRule="auto"/>
              <w:jc w:val="center"/>
              <w:rPr>
                <w:rFonts w:ascii="宋体" w:hAnsi="宋体"/>
                <w:sz w:val="21"/>
                <w:szCs w:val="21"/>
              </w:rPr>
            </w:pPr>
            <w:r>
              <w:rPr>
                <w:rFonts w:hint="eastAsia" w:ascii="宋体" w:hAnsi="宋体"/>
                <w:sz w:val="21"/>
                <w:szCs w:val="21"/>
              </w:rPr>
              <w:t>招标方式</w:t>
            </w:r>
          </w:p>
        </w:tc>
        <w:tc>
          <w:tcPr>
            <w:tcW w:w="6663" w:type="dxa"/>
            <w:vAlign w:val="center"/>
          </w:tcPr>
          <w:p>
            <w:pPr>
              <w:adjustRightInd w:val="0"/>
              <w:snapToGrid w:val="0"/>
              <w:spacing w:line="288" w:lineRule="auto"/>
              <w:rPr>
                <w:rFonts w:ascii="宋体" w:hAnsi="宋体"/>
                <w:sz w:val="21"/>
                <w:szCs w:val="21"/>
              </w:rPr>
            </w:pPr>
            <w:r>
              <w:rPr>
                <w:rFonts w:hint="eastAsia" w:ascii="宋体" w:hAnsi="宋体"/>
                <w:sz w:val="21"/>
                <w:szCs w:val="21"/>
              </w:rPr>
              <w:t>本次招标采用公开招标方式进行。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129" w:type="dxa"/>
            <w:vAlign w:val="center"/>
          </w:tcPr>
          <w:p>
            <w:pPr>
              <w:adjustRightInd w:val="0"/>
              <w:snapToGrid w:val="0"/>
              <w:spacing w:line="288" w:lineRule="auto"/>
              <w:jc w:val="center"/>
              <w:rPr>
                <w:rFonts w:ascii="宋体" w:hAnsi="宋体"/>
                <w:sz w:val="21"/>
                <w:szCs w:val="21"/>
              </w:rPr>
            </w:pPr>
            <w:r>
              <w:rPr>
                <w:rFonts w:hint="eastAsia" w:ascii="宋体" w:hAnsi="宋体"/>
                <w:sz w:val="21"/>
                <w:szCs w:val="21"/>
              </w:rPr>
              <w:t>（三）</w:t>
            </w:r>
          </w:p>
        </w:tc>
        <w:tc>
          <w:tcPr>
            <w:tcW w:w="1701" w:type="dxa"/>
            <w:vAlign w:val="center"/>
          </w:tcPr>
          <w:p>
            <w:pPr>
              <w:adjustRightInd w:val="0"/>
              <w:snapToGrid w:val="0"/>
              <w:spacing w:line="288" w:lineRule="auto"/>
              <w:jc w:val="center"/>
              <w:rPr>
                <w:rFonts w:ascii="宋体" w:hAnsi="宋体"/>
                <w:sz w:val="21"/>
                <w:szCs w:val="21"/>
              </w:rPr>
            </w:pPr>
            <w:r>
              <w:rPr>
                <w:rFonts w:hint="eastAsia" w:ascii="宋体" w:hAnsi="宋体"/>
                <w:sz w:val="21"/>
                <w:szCs w:val="21"/>
              </w:rPr>
              <w:t>投标委托</w:t>
            </w:r>
          </w:p>
        </w:tc>
        <w:tc>
          <w:tcPr>
            <w:tcW w:w="6663" w:type="dxa"/>
            <w:vAlign w:val="center"/>
          </w:tcPr>
          <w:p>
            <w:pPr>
              <w:adjustRightInd w:val="0"/>
              <w:snapToGrid w:val="0"/>
              <w:spacing w:line="288" w:lineRule="auto"/>
              <w:rPr>
                <w:rFonts w:ascii="宋体" w:hAnsi="宋体"/>
                <w:sz w:val="21"/>
                <w:szCs w:val="21"/>
              </w:rPr>
            </w:pPr>
            <w:bookmarkStart w:id="35" w:name="_Hlk132634937"/>
            <w:r>
              <w:rPr>
                <w:rFonts w:hint="eastAsia" w:ascii="宋体" w:hAnsi="宋体"/>
                <w:sz w:val="21"/>
                <w:szCs w:val="21"/>
              </w:rPr>
              <w:t>▲1</w:t>
            </w:r>
            <w:r>
              <w:rPr>
                <w:rFonts w:ascii="宋体" w:hAnsi="宋体"/>
                <w:sz w:val="21"/>
                <w:szCs w:val="21"/>
              </w:rPr>
              <w:t>.投标人代表是法定代表人</w:t>
            </w:r>
            <w:r>
              <w:rPr>
                <w:rFonts w:hint="eastAsia" w:ascii="宋体" w:hAnsi="宋体"/>
                <w:sz w:val="21"/>
                <w:szCs w:val="21"/>
              </w:rPr>
              <w:t>（单位负责人、自然人本人）的，须提供本人身份证明。</w:t>
            </w:r>
          </w:p>
          <w:p>
            <w:pPr>
              <w:adjustRightInd w:val="0"/>
              <w:snapToGrid w:val="0"/>
              <w:spacing w:line="288" w:lineRule="auto"/>
              <w:rPr>
                <w:rFonts w:ascii="宋体" w:hAnsi="宋体"/>
                <w:sz w:val="21"/>
                <w:szCs w:val="21"/>
              </w:rPr>
            </w:pPr>
            <w:r>
              <w:rPr>
                <w:rFonts w:hint="eastAsia" w:ascii="宋体" w:hAnsi="宋体"/>
                <w:sz w:val="21"/>
                <w:szCs w:val="21"/>
              </w:rPr>
              <w:t>▲</w:t>
            </w:r>
            <w:r>
              <w:rPr>
                <w:rFonts w:ascii="宋体" w:hAnsi="宋体"/>
                <w:sz w:val="21"/>
                <w:szCs w:val="21"/>
              </w:rPr>
              <w:t>2</w:t>
            </w:r>
            <w:r>
              <w:rPr>
                <w:rFonts w:hint="eastAsia" w:ascii="宋体" w:hAnsi="宋体"/>
                <w:sz w:val="21"/>
                <w:szCs w:val="21"/>
              </w:rPr>
              <w:t>.</w:t>
            </w:r>
            <w:r>
              <w:rPr>
                <w:rFonts w:ascii="宋体" w:hAnsi="宋体"/>
                <w:sz w:val="21"/>
                <w:szCs w:val="21"/>
              </w:rPr>
              <w:t>投标人代表不是法定代表人</w:t>
            </w:r>
            <w:r>
              <w:rPr>
                <w:rFonts w:hint="eastAsia" w:ascii="宋体" w:hAnsi="宋体"/>
                <w:sz w:val="21"/>
                <w:szCs w:val="21"/>
              </w:rPr>
              <w:t>（单位负责人、自然人本人）的</w:t>
            </w:r>
            <w:r>
              <w:rPr>
                <w:rFonts w:ascii="宋体" w:hAnsi="宋体"/>
                <w:sz w:val="21"/>
                <w:szCs w:val="21"/>
              </w:rPr>
              <w:t>，须提供</w:t>
            </w:r>
            <w:r>
              <w:rPr>
                <w:rFonts w:ascii="宋体" w:hAnsi="宋体"/>
                <w:bCs/>
                <w:sz w:val="21"/>
                <w:szCs w:val="21"/>
              </w:rPr>
              <w:t>授权</w:t>
            </w:r>
            <w:r>
              <w:rPr>
                <w:rFonts w:hint="eastAsia" w:ascii="宋体" w:hAnsi="宋体"/>
                <w:bCs/>
                <w:sz w:val="21"/>
                <w:szCs w:val="21"/>
              </w:rPr>
              <w:t>委托</w:t>
            </w:r>
            <w:r>
              <w:rPr>
                <w:rFonts w:ascii="宋体" w:hAnsi="宋体"/>
                <w:bCs/>
                <w:sz w:val="21"/>
                <w:szCs w:val="21"/>
              </w:rPr>
              <w:t>书</w:t>
            </w:r>
            <w:r>
              <w:rPr>
                <w:rFonts w:hint="eastAsia" w:ascii="宋体" w:hAnsi="宋体"/>
                <w:sz w:val="21"/>
                <w:szCs w:val="21"/>
              </w:rPr>
              <w:t>（格式详见招标文件第六章）和授权代表社保缴纳证明（2023年7月</w:t>
            </w:r>
            <w:r>
              <w:rPr>
                <w:rFonts w:ascii="宋体" w:hAnsi="宋体"/>
                <w:sz w:val="21"/>
                <w:szCs w:val="21"/>
              </w:rPr>
              <w:t>（含）以后任意一月）</w:t>
            </w:r>
            <w:r>
              <w:rPr>
                <w:rFonts w:hint="eastAsia" w:ascii="宋体" w:hAnsi="宋体"/>
                <w:sz w:val="21"/>
                <w:szCs w:val="21"/>
              </w:rPr>
              <w:t>；</w:t>
            </w:r>
          </w:p>
          <w:p>
            <w:pPr>
              <w:adjustRightInd w:val="0"/>
              <w:snapToGrid w:val="0"/>
              <w:spacing w:line="288" w:lineRule="auto"/>
              <w:rPr>
                <w:rFonts w:ascii="宋体" w:hAnsi="宋体"/>
                <w:sz w:val="21"/>
                <w:szCs w:val="21"/>
              </w:rPr>
            </w:pPr>
            <w:r>
              <w:rPr>
                <w:rFonts w:hint="eastAsia" w:ascii="宋体" w:hAnsi="宋体"/>
                <w:sz w:val="21"/>
                <w:szCs w:val="21"/>
              </w:rPr>
              <w:t>▲</w:t>
            </w:r>
            <w:r>
              <w:rPr>
                <w:rFonts w:ascii="宋体" w:hAnsi="宋体"/>
                <w:sz w:val="21"/>
                <w:szCs w:val="21"/>
              </w:rPr>
              <w:t>3.</w:t>
            </w:r>
            <w:r>
              <w:rPr>
                <w:rFonts w:hint="eastAsia" w:ascii="宋体" w:hAnsi="宋体"/>
                <w:sz w:val="21"/>
                <w:szCs w:val="21"/>
              </w:rPr>
              <w:t>投标人委派不在本单位缴纳社保的人员作为授权代表的，应当在投标文件中，说明具体原因、授权代表缴纳社保的单位，并附列该授权代表缴纳社保清单。</w:t>
            </w:r>
            <w:bookmarkEnd w:id="35"/>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129" w:type="dxa"/>
            <w:vAlign w:val="center"/>
          </w:tcPr>
          <w:p>
            <w:pPr>
              <w:adjustRightInd w:val="0"/>
              <w:snapToGrid w:val="0"/>
              <w:spacing w:line="288" w:lineRule="auto"/>
              <w:jc w:val="center"/>
              <w:rPr>
                <w:rFonts w:ascii="宋体" w:hAnsi="宋体"/>
                <w:sz w:val="21"/>
                <w:szCs w:val="21"/>
              </w:rPr>
            </w:pPr>
            <w:r>
              <w:rPr>
                <w:rFonts w:hint="eastAsia" w:ascii="宋体" w:hAnsi="宋体"/>
                <w:sz w:val="21"/>
                <w:szCs w:val="21"/>
              </w:rPr>
              <w:t>（四）</w:t>
            </w:r>
          </w:p>
        </w:tc>
        <w:tc>
          <w:tcPr>
            <w:tcW w:w="1701" w:type="dxa"/>
            <w:vAlign w:val="center"/>
          </w:tcPr>
          <w:p>
            <w:pPr>
              <w:adjustRightInd w:val="0"/>
              <w:snapToGrid w:val="0"/>
              <w:spacing w:line="288" w:lineRule="auto"/>
              <w:jc w:val="center"/>
              <w:rPr>
                <w:rFonts w:ascii="宋体" w:hAnsi="宋体"/>
                <w:sz w:val="21"/>
                <w:szCs w:val="21"/>
              </w:rPr>
            </w:pPr>
            <w:r>
              <w:rPr>
                <w:rFonts w:hint="eastAsia" w:ascii="宋体" w:hAnsi="宋体"/>
                <w:sz w:val="21"/>
                <w:szCs w:val="21"/>
              </w:rPr>
              <w:t>投标费用</w:t>
            </w:r>
          </w:p>
        </w:tc>
        <w:tc>
          <w:tcPr>
            <w:tcW w:w="6663" w:type="dxa"/>
            <w:vAlign w:val="center"/>
          </w:tcPr>
          <w:p>
            <w:pPr>
              <w:adjustRightInd w:val="0"/>
              <w:snapToGrid w:val="0"/>
              <w:spacing w:line="288" w:lineRule="auto"/>
              <w:rPr>
                <w:rFonts w:ascii="宋体" w:hAnsi="宋体" w:cs="宋体"/>
                <w:sz w:val="21"/>
                <w:szCs w:val="21"/>
              </w:rPr>
            </w:pPr>
            <w:r>
              <w:rPr>
                <w:rFonts w:hint="eastAsia" w:ascii="宋体" w:hAnsi="宋体" w:cs="宋体"/>
                <w:sz w:val="21"/>
                <w:szCs w:val="21"/>
              </w:rPr>
              <w:t>1.不论投标结果如何，投标人均应自行承担所有与投标有关的全部费用；</w:t>
            </w:r>
          </w:p>
          <w:p>
            <w:pPr>
              <w:adjustRightInd w:val="0"/>
              <w:snapToGrid w:val="0"/>
              <w:spacing w:line="288" w:lineRule="auto"/>
              <w:rPr>
                <w:rFonts w:ascii="宋体" w:hAnsi="宋体" w:cs="宋体"/>
                <w:sz w:val="21"/>
                <w:szCs w:val="21"/>
              </w:rPr>
            </w:pPr>
            <w:r>
              <w:rPr>
                <w:rFonts w:hint="eastAsia" w:ascii="宋体" w:hAnsi="宋体" w:cs="宋体"/>
                <w:sz w:val="21"/>
                <w:szCs w:val="21"/>
              </w:rPr>
              <w:t>2.中标人在中标通知书发出之日起七个工作日内，向采购代理机构交纳代理服务费；</w:t>
            </w:r>
          </w:p>
          <w:p>
            <w:pPr>
              <w:adjustRightInd w:val="0"/>
              <w:snapToGrid w:val="0"/>
              <w:spacing w:line="288" w:lineRule="auto"/>
              <w:rPr>
                <w:rFonts w:ascii="宋体" w:hAnsi="宋体" w:cs="宋体"/>
                <w:sz w:val="21"/>
                <w:szCs w:val="21"/>
              </w:rPr>
            </w:pPr>
            <w:r>
              <w:rPr>
                <w:rFonts w:hint="eastAsia" w:ascii="宋体" w:hAnsi="宋体" w:cs="宋体"/>
                <w:sz w:val="21"/>
                <w:szCs w:val="21"/>
              </w:rPr>
              <w:t>3.中标人逾期支付代理服务费，须承担代理服务费每日百分之三的违约金，逾期十日未支付的，采购代理机构有权向杭州仲裁委员会对中标人提起仲裁，仲裁费用（包括仲裁受理费和仲裁处理费）均由中标人承担。</w:t>
            </w:r>
          </w:p>
          <w:p>
            <w:pPr>
              <w:adjustRightInd w:val="0"/>
              <w:snapToGrid w:val="0"/>
              <w:spacing w:line="288" w:lineRule="auto"/>
              <w:jc w:val="left"/>
              <w:rPr>
                <w:rFonts w:ascii="宋体" w:hAnsi="宋体"/>
                <w:spacing w:val="-6"/>
                <w:sz w:val="21"/>
                <w:szCs w:val="21"/>
              </w:rPr>
            </w:pPr>
            <w:r>
              <w:rPr>
                <w:rFonts w:hint="eastAsia" w:ascii="宋体" w:hAnsi="宋体"/>
                <w:sz w:val="21"/>
                <w:szCs w:val="21"/>
              </w:rPr>
              <w:t>4</w:t>
            </w:r>
            <w:r>
              <w:rPr>
                <w:rFonts w:ascii="宋体" w:hAnsi="宋体"/>
                <w:sz w:val="21"/>
                <w:szCs w:val="21"/>
              </w:rPr>
              <w:t>.</w:t>
            </w:r>
            <w:r>
              <w:rPr>
                <w:rFonts w:hint="eastAsia" w:ascii="宋体" w:hAnsi="宋体"/>
                <w:spacing w:val="-6"/>
                <w:sz w:val="21"/>
                <w:szCs w:val="21"/>
              </w:rPr>
              <w:t>收费标准（差额累进）：</w:t>
            </w:r>
          </w:p>
          <w:tbl>
            <w:tblPr>
              <w:tblStyle w:val="24"/>
              <w:tblW w:w="0" w:type="auto"/>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0" w:type="dxa"/>
                <w:bottom w:w="0" w:type="dxa"/>
                <w:right w:w="0" w:type="dxa"/>
              </w:tblCellMar>
            </w:tblPr>
            <w:tblGrid>
              <w:gridCol w:w="2551"/>
              <w:gridCol w:w="2901"/>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rPr>
                <w:trHeight w:val="20" w:hRule="atLeast"/>
                <w:jc w:val="center"/>
              </w:trPr>
              <w:tc>
                <w:tcPr>
                  <w:tcW w:w="2551" w:type="dxa"/>
                  <w:tcMar>
                    <w:top w:w="0" w:type="dxa"/>
                    <w:left w:w="108" w:type="dxa"/>
                    <w:bottom w:w="0" w:type="dxa"/>
                    <w:right w:w="108" w:type="dxa"/>
                  </w:tcMar>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中标金额（万元）</w:t>
                  </w:r>
                </w:p>
              </w:tc>
              <w:tc>
                <w:tcPr>
                  <w:tcW w:w="2901" w:type="dxa"/>
                  <w:tcMar>
                    <w:top w:w="0" w:type="dxa"/>
                    <w:left w:w="108" w:type="dxa"/>
                    <w:bottom w:w="0" w:type="dxa"/>
                    <w:right w:w="108" w:type="dxa"/>
                  </w:tcMar>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收费标准（费率，%）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rPr>
                <w:trHeight w:val="20" w:hRule="atLeast"/>
                <w:jc w:val="center"/>
              </w:trPr>
              <w:tc>
                <w:tcPr>
                  <w:tcW w:w="2551" w:type="dxa"/>
                  <w:tcMar>
                    <w:top w:w="0" w:type="dxa"/>
                    <w:left w:w="108" w:type="dxa"/>
                    <w:bottom w:w="0" w:type="dxa"/>
                    <w:right w:w="108" w:type="dxa"/>
                  </w:tcMar>
                  <w:vAlign w:val="center"/>
                </w:tcPr>
                <w:p>
                  <w:pPr>
                    <w:adjustRightInd w:val="0"/>
                    <w:snapToGrid w:val="0"/>
                    <w:spacing w:line="288" w:lineRule="auto"/>
                    <w:jc w:val="center"/>
                    <w:rPr>
                      <w:rFonts w:ascii="宋体" w:hAnsi="宋体" w:cs="宋体"/>
                      <w:sz w:val="21"/>
                      <w:szCs w:val="21"/>
                      <w:highlight w:val="yellow"/>
                    </w:rPr>
                  </w:pPr>
                  <w:r>
                    <w:rPr>
                      <w:rFonts w:hint="eastAsia" w:ascii="宋体" w:hAnsi="宋体"/>
                      <w:sz w:val="21"/>
                      <w:szCs w:val="21"/>
                    </w:rPr>
                    <w:t>100以下</w:t>
                  </w:r>
                </w:p>
              </w:tc>
              <w:tc>
                <w:tcPr>
                  <w:tcW w:w="2901" w:type="dxa"/>
                  <w:tcMar>
                    <w:top w:w="0" w:type="dxa"/>
                    <w:left w:w="108" w:type="dxa"/>
                    <w:bottom w:w="0" w:type="dxa"/>
                    <w:right w:w="108" w:type="dxa"/>
                  </w:tcMar>
                  <w:vAlign w:val="center"/>
                </w:tcPr>
                <w:p>
                  <w:pPr>
                    <w:adjustRightInd w:val="0"/>
                    <w:snapToGrid w:val="0"/>
                    <w:spacing w:line="288" w:lineRule="auto"/>
                    <w:jc w:val="center"/>
                    <w:rPr>
                      <w:rFonts w:ascii="宋体" w:hAnsi="宋体" w:cs="宋体"/>
                      <w:sz w:val="21"/>
                      <w:szCs w:val="21"/>
                      <w:highlight w:val="yellow"/>
                    </w:rPr>
                  </w:pPr>
                  <w:r>
                    <w:rPr>
                      <w:rFonts w:hint="eastAsia" w:ascii="宋体" w:hAnsi="宋体"/>
                      <w:sz w:val="21"/>
                      <w:szCs w:val="21"/>
                    </w:rPr>
                    <w:t>1.2</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rPr>
                <w:trHeight w:val="20" w:hRule="atLeast"/>
                <w:jc w:val="center"/>
              </w:trPr>
              <w:tc>
                <w:tcPr>
                  <w:tcW w:w="2551" w:type="dxa"/>
                  <w:tcMar>
                    <w:top w:w="0" w:type="dxa"/>
                    <w:left w:w="108" w:type="dxa"/>
                    <w:bottom w:w="0" w:type="dxa"/>
                    <w:right w:w="108" w:type="dxa"/>
                  </w:tcMar>
                  <w:vAlign w:val="center"/>
                </w:tcPr>
                <w:p>
                  <w:pPr>
                    <w:adjustRightInd w:val="0"/>
                    <w:snapToGrid w:val="0"/>
                    <w:spacing w:line="288" w:lineRule="auto"/>
                    <w:jc w:val="center"/>
                    <w:rPr>
                      <w:rFonts w:ascii="宋体" w:hAnsi="宋体" w:cs="宋体"/>
                      <w:sz w:val="21"/>
                      <w:szCs w:val="21"/>
                      <w:highlight w:val="yellow"/>
                    </w:rPr>
                  </w:pPr>
                  <w:r>
                    <w:rPr>
                      <w:rFonts w:hint="eastAsia" w:ascii="宋体" w:hAnsi="宋体"/>
                      <w:sz w:val="21"/>
                      <w:szCs w:val="21"/>
                    </w:rPr>
                    <w:t>100-500</w:t>
                  </w:r>
                </w:p>
              </w:tc>
              <w:tc>
                <w:tcPr>
                  <w:tcW w:w="2901" w:type="dxa"/>
                  <w:tcMar>
                    <w:top w:w="0" w:type="dxa"/>
                    <w:left w:w="108" w:type="dxa"/>
                    <w:bottom w:w="0" w:type="dxa"/>
                    <w:right w:w="108" w:type="dxa"/>
                  </w:tcMar>
                  <w:vAlign w:val="center"/>
                </w:tcPr>
                <w:p>
                  <w:pPr>
                    <w:adjustRightInd w:val="0"/>
                    <w:snapToGrid w:val="0"/>
                    <w:spacing w:line="288" w:lineRule="auto"/>
                    <w:jc w:val="center"/>
                    <w:rPr>
                      <w:rFonts w:ascii="宋体" w:hAnsi="宋体" w:cs="宋体"/>
                      <w:sz w:val="21"/>
                      <w:szCs w:val="21"/>
                      <w:highlight w:val="yellow"/>
                    </w:rPr>
                  </w:pPr>
                  <w:r>
                    <w:rPr>
                      <w:rFonts w:hint="eastAsia" w:ascii="宋体" w:hAnsi="宋体"/>
                      <w:sz w:val="21"/>
                      <w:szCs w:val="21"/>
                    </w:rPr>
                    <w:t>0.88</w:t>
                  </w:r>
                </w:p>
              </w:tc>
            </w:tr>
          </w:tbl>
          <w:p>
            <w:pPr>
              <w:adjustRightInd w:val="0"/>
              <w:snapToGrid w:val="0"/>
              <w:spacing w:line="288" w:lineRule="auto"/>
              <w:rPr>
                <w:rFonts w:ascii="宋体" w:hAnsi="宋体"/>
                <w:sz w:val="21"/>
                <w:szCs w:val="21"/>
              </w:rPr>
            </w:pPr>
            <w:r>
              <w:rPr>
                <w:rFonts w:hint="eastAsia" w:ascii="宋体" w:hAnsi="宋体"/>
                <w:sz w:val="21"/>
                <w:szCs w:val="21"/>
              </w:rPr>
              <w:t>不足叁仟元的按叁仟元收取。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129" w:type="dxa"/>
            <w:vAlign w:val="center"/>
          </w:tcPr>
          <w:p>
            <w:pPr>
              <w:adjustRightInd w:val="0"/>
              <w:snapToGrid w:val="0"/>
              <w:spacing w:line="288" w:lineRule="auto"/>
              <w:jc w:val="center"/>
              <w:rPr>
                <w:rFonts w:ascii="宋体" w:hAnsi="宋体"/>
                <w:sz w:val="21"/>
                <w:szCs w:val="21"/>
              </w:rPr>
            </w:pPr>
            <w:r>
              <w:rPr>
                <w:rFonts w:hint="eastAsia" w:ascii="宋体" w:hAnsi="宋体"/>
                <w:sz w:val="21"/>
                <w:szCs w:val="21"/>
              </w:rPr>
              <w:t>（五）</w:t>
            </w:r>
          </w:p>
        </w:tc>
        <w:tc>
          <w:tcPr>
            <w:tcW w:w="1701" w:type="dxa"/>
            <w:vAlign w:val="center"/>
          </w:tcPr>
          <w:p>
            <w:pPr>
              <w:adjustRightInd w:val="0"/>
              <w:snapToGrid w:val="0"/>
              <w:spacing w:line="288" w:lineRule="auto"/>
              <w:jc w:val="center"/>
              <w:rPr>
                <w:rFonts w:ascii="宋体" w:hAnsi="宋体"/>
                <w:sz w:val="21"/>
                <w:szCs w:val="21"/>
              </w:rPr>
            </w:pPr>
            <w:r>
              <w:rPr>
                <w:rFonts w:hint="eastAsia" w:ascii="宋体" w:hAnsi="宋体"/>
                <w:sz w:val="21"/>
                <w:szCs w:val="21"/>
              </w:rPr>
              <w:t>投标保证金（元）</w:t>
            </w:r>
          </w:p>
        </w:tc>
        <w:tc>
          <w:tcPr>
            <w:tcW w:w="6663" w:type="dxa"/>
            <w:vAlign w:val="center"/>
          </w:tcPr>
          <w:p>
            <w:pPr>
              <w:adjustRightInd w:val="0"/>
              <w:snapToGrid w:val="0"/>
              <w:spacing w:line="288" w:lineRule="auto"/>
              <w:rPr>
                <w:rFonts w:ascii="宋体" w:hAnsi="宋体"/>
                <w:sz w:val="21"/>
                <w:szCs w:val="21"/>
              </w:rPr>
            </w:pPr>
            <w:r>
              <w:rPr>
                <w:rFonts w:hint="eastAsia" w:ascii="宋体" w:hAnsi="宋体"/>
                <w:sz w:val="21"/>
                <w:szCs w:val="21"/>
              </w:rPr>
              <w:t>20000元。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129" w:type="dxa"/>
            <w:vAlign w:val="center"/>
          </w:tcPr>
          <w:p>
            <w:pPr>
              <w:adjustRightInd w:val="0"/>
              <w:snapToGrid w:val="0"/>
              <w:spacing w:line="288" w:lineRule="auto"/>
              <w:jc w:val="center"/>
              <w:rPr>
                <w:rFonts w:ascii="宋体" w:hAnsi="宋体"/>
                <w:sz w:val="21"/>
                <w:szCs w:val="21"/>
              </w:rPr>
            </w:pPr>
            <w:r>
              <w:rPr>
                <w:rFonts w:hint="eastAsia" w:ascii="宋体" w:hAnsi="宋体"/>
                <w:sz w:val="21"/>
                <w:szCs w:val="21"/>
              </w:rPr>
              <w:t>（六）</w:t>
            </w:r>
          </w:p>
        </w:tc>
        <w:tc>
          <w:tcPr>
            <w:tcW w:w="1701" w:type="dxa"/>
            <w:vAlign w:val="center"/>
          </w:tcPr>
          <w:p>
            <w:pPr>
              <w:adjustRightInd w:val="0"/>
              <w:snapToGrid w:val="0"/>
              <w:spacing w:line="288" w:lineRule="auto"/>
              <w:jc w:val="center"/>
              <w:rPr>
                <w:rFonts w:ascii="宋体" w:hAnsi="宋体"/>
                <w:sz w:val="21"/>
                <w:szCs w:val="21"/>
              </w:rPr>
            </w:pPr>
            <w:r>
              <w:rPr>
                <w:rFonts w:hint="eastAsia" w:ascii="宋体" w:hAnsi="宋体"/>
                <w:sz w:val="21"/>
                <w:szCs w:val="21"/>
              </w:rPr>
              <w:t>联合体投标</w:t>
            </w:r>
          </w:p>
        </w:tc>
        <w:tc>
          <w:tcPr>
            <w:tcW w:w="6663" w:type="dxa"/>
            <w:vAlign w:val="center"/>
          </w:tcPr>
          <w:p>
            <w:pPr>
              <w:adjustRightInd w:val="0"/>
              <w:snapToGrid w:val="0"/>
              <w:spacing w:line="288" w:lineRule="auto"/>
              <w:rPr>
                <w:rFonts w:ascii="宋体" w:hAnsi="宋体"/>
                <w:sz w:val="21"/>
                <w:szCs w:val="21"/>
              </w:rPr>
            </w:pPr>
            <w:r>
              <w:rPr>
                <w:rFonts w:hint="eastAsia" w:ascii="宋体" w:hAnsi="宋体"/>
                <w:sz w:val="21"/>
                <w:szCs w:val="21"/>
              </w:rPr>
              <w:t>本项目不接受联合体投标。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129" w:type="dxa"/>
            <w:vAlign w:val="center"/>
          </w:tcPr>
          <w:p>
            <w:pPr>
              <w:adjustRightInd w:val="0"/>
              <w:snapToGrid w:val="0"/>
              <w:spacing w:line="288" w:lineRule="auto"/>
              <w:jc w:val="center"/>
              <w:rPr>
                <w:rFonts w:ascii="宋体" w:hAnsi="宋体"/>
                <w:sz w:val="21"/>
                <w:szCs w:val="21"/>
              </w:rPr>
            </w:pPr>
            <w:r>
              <w:rPr>
                <w:rFonts w:hint="eastAsia" w:ascii="宋体" w:hAnsi="宋体"/>
                <w:sz w:val="21"/>
                <w:szCs w:val="21"/>
              </w:rPr>
              <w:t>（七）</w:t>
            </w:r>
          </w:p>
        </w:tc>
        <w:tc>
          <w:tcPr>
            <w:tcW w:w="1701" w:type="dxa"/>
            <w:vAlign w:val="center"/>
          </w:tcPr>
          <w:p>
            <w:pPr>
              <w:adjustRightInd w:val="0"/>
              <w:snapToGrid w:val="0"/>
              <w:spacing w:line="288" w:lineRule="auto"/>
              <w:jc w:val="center"/>
              <w:rPr>
                <w:rFonts w:ascii="宋体" w:hAnsi="宋体"/>
                <w:sz w:val="21"/>
                <w:szCs w:val="21"/>
              </w:rPr>
            </w:pPr>
            <w:r>
              <w:rPr>
                <w:rFonts w:hint="eastAsia" w:ascii="宋体" w:hAnsi="宋体"/>
                <w:sz w:val="21"/>
                <w:szCs w:val="21"/>
              </w:rPr>
              <w:t>转包与分包</w:t>
            </w:r>
          </w:p>
        </w:tc>
        <w:tc>
          <w:tcPr>
            <w:tcW w:w="6663" w:type="dxa"/>
            <w:vAlign w:val="center"/>
          </w:tcPr>
          <w:p>
            <w:pPr>
              <w:adjustRightInd w:val="0"/>
              <w:snapToGrid w:val="0"/>
              <w:spacing w:line="288" w:lineRule="auto"/>
              <w:rPr>
                <w:rFonts w:ascii="宋体" w:hAnsi="宋体"/>
                <w:sz w:val="21"/>
                <w:szCs w:val="21"/>
              </w:rPr>
            </w:pPr>
            <w:r>
              <w:rPr>
                <w:rFonts w:hint="eastAsia" w:ascii="宋体" w:hAnsi="宋体"/>
                <w:sz w:val="21"/>
                <w:szCs w:val="21"/>
              </w:rPr>
              <w:t>1</w:t>
            </w:r>
            <w:r>
              <w:rPr>
                <w:rFonts w:ascii="宋体" w:hAnsi="宋体"/>
                <w:sz w:val="21"/>
                <w:szCs w:val="21"/>
              </w:rPr>
              <w:t>.</w:t>
            </w:r>
            <w:r>
              <w:rPr>
                <w:rFonts w:hint="eastAsia" w:ascii="宋体" w:hAnsi="宋体"/>
                <w:sz w:val="21"/>
                <w:szCs w:val="21"/>
              </w:rPr>
              <w:t>本项目不允许转包；</w:t>
            </w:r>
          </w:p>
          <w:p>
            <w:pPr>
              <w:adjustRightInd w:val="0"/>
              <w:snapToGrid w:val="0"/>
              <w:spacing w:line="288" w:lineRule="auto"/>
              <w:rPr>
                <w:rFonts w:ascii="宋体" w:hAnsi="宋体"/>
                <w:sz w:val="21"/>
                <w:szCs w:val="21"/>
              </w:rPr>
            </w:pPr>
            <w:r>
              <w:rPr>
                <w:rFonts w:ascii="宋体" w:hAnsi="宋体"/>
                <w:sz w:val="21"/>
                <w:szCs w:val="21"/>
              </w:rPr>
              <w:t>2.</w:t>
            </w:r>
            <w:r>
              <w:rPr>
                <w:rFonts w:hint="eastAsia" w:ascii="宋体" w:hAnsi="宋体"/>
                <w:sz w:val="21"/>
                <w:szCs w:val="21"/>
              </w:rPr>
              <w:t>本项目</w:t>
            </w:r>
            <w:r>
              <w:rPr>
                <w:rFonts w:hint="eastAsia" w:ascii="宋体" w:hAnsi="宋体"/>
                <w:b/>
                <w:bCs/>
                <w:sz w:val="21"/>
                <w:szCs w:val="21"/>
                <w:u w:val="single"/>
              </w:rPr>
              <w:t>不允许</w:t>
            </w:r>
            <w:r>
              <w:rPr>
                <w:rFonts w:hint="eastAsia" w:ascii="宋体" w:hAnsi="宋体"/>
                <w:sz w:val="21"/>
                <w:szCs w:val="21"/>
              </w:rPr>
              <w:t>分包，不适宜分包的理由是：</w:t>
            </w:r>
            <w:r>
              <w:rPr>
                <w:rFonts w:hint="eastAsia" w:ascii="宋体" w:hAnsi="宋体"/>
                <w:sz w:val="21"/>
                <w:szCs w:val="21"/>
                <w:u w:val="single"/>
              </w:rPr>
              <w:t>本项目</w:t>
            </w:r>
            <w:r>
              <w:rPr>
                <w:rFonts w:ascii="宋体" w:hAnsi="宋体"/>
                <w:sz w:val="21"/>
                <w:szCs w:val="21"/>
                <w:u w:val="single"/>
              </w:rPr>
              <w:t>服务范围较小且集中，服务内容彼此密切关连</w:t>
            </w:r>
            <w:r>
              <w:rPr>
                <w:rFonts w:hint="eastAsia" w:ascii="宋体" w:hAnsi="宋体"/>
                <w:sz w:val="21"/>
                <w:szCs w:val="21"/>
                <w:u w:val="single"/>
              </w:rPr>
              <w:t>，不适宜拆分</w:t>
            </w:r>
            <w:r>
              <w:rPr>
                <w:rFonts w:ascii="宋体" w:hAnsi="宋体"/>
                <w:sz w:val="21"/>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129" w:type="dxa"/>
            <w:vAlign w:val="center"/>
          </w:tcPr>
          <w:p>
            <w:pPr>
              <w:adjustRightInd w:val="0"/>
              <w:snapToGrid w:val="0"/>
              <w:spacing w:line="288" w:lineRule="auto"/>
              <w:jc w:val="center"/>
              <w:rPr>
                <w:rFonts w:ascii="宋体" w:hAnsi="宋体"/>
                <w:sz w:val="21"/>
                <w:szCs w:val="21"/>
              </w:rPr>
            </w:pPr>
            <w:r>
              <w:rPr>
                <w:rFonts w:hint="eastAsia" w:ascii="宋体" w:hAnsi="宋体"/>
                <w:sz w:val="21"/>
                <w:szCs w:val="21"/>
              </w:rPr>
              <w:t>（八）</w:t>
            </w:r>
          </w:p>
        </w:tc>
        <w:tc>
          <w:tcPr>
            <w:tcW w:w="1701" w:type="dxa"/>
            <w:vAlign w:val="center"/>
          </w:tcPr>
          <w:p>
            <w:pPr>
              <w:adjustRightInd w:val="0"/>
              <w:snapToGrid w:val="0"/>
              <w:spacing w:line="288" w:lineRule="auto"/>
              <w:jc w:val="center"/>
              <w:rPr>
                <w:rFonts w:ascii="宋体" w:hAnsi="宋体"/>
                <w:sz w:val="21"/>
                <w:szCs w:val="21"/>
              </w:rPr>
            </w:pPr>
            <w:r>
              <w:rPr>
                <w:rFonts w:hint="eastAsia" w:ascii="宋体" w:hAnsi="宋体"/>
                <w:sz w:val="21"/>
                <w:szCs w:val="21"/>
              </w:rPr>
              <w:t>信用记录</w:t>
            </w:r>
          </w:p>
        </w:tc>
        <w:tc>
          <w:tcPr>
            <w:tcW w:w="6663" w:type="dxa"/>
            <w:vAlign w:val="center"/>
          </w:tcPr>
          <w:p>
            <w:pPr>
              <w:adjustRightInd w:val="0"/>
              <w:snapToGrid w:val="0"/>
              <w:spacing w:line="288" w:lineRule="auto"/>
              <w:rPr>
                <w:rFonts w:ascii="宋体" w:hAnsi="宋体"/>
                <w:bCs/>
                <w:sz w:val="21"/>
                <w:szCs w:val="21"/>
              </w:rPr>
            </w:pPr>
            <w:r>
              <w:rPr>
                <w:rFonts w:hint="eastAsia" w:ascii="宋体" w:hAnsi="宋体"/>
                <w:bCs/>
                <w:sz w:val="21"/>
                <w:szCs w:val="21"/>
              </w:rPr>
              <w:t>根据财库[2016]125号《关于在政府采购活动中查询及使用信用记录有关问题的通知》要求，采购代理机构会对投标人信用记录进行查询并甄别。信用</w:t>
            </w:r>
            <w:r>
              <w:rPr>
                <w:rFonts w:hint="eastAsia" w:ascii="宋体" w:hAnsi="宋体"/>
                <w:sz w:val="21"/>
                <w:szCs w:val="21"/>
              </w:rPr>
              <w:t>信息查询的截止时点：投标截止时间；</w:t>
            </w:r>
          </w:p>
          <w:p>
            <w:pPr>
              <w:adjustRightInd w:val="0"/>
              <w:snapToGrid w:val="0"/>
              <w:spacing w:line="288" w:lineRule="auto"/>
              <w:rPr>
                <w:rFonts w:ascii="宋体" w:hAnsi="宋体"/>
                <w:sz w:val="21"/>
                <w:szCs w:val="21"/>
              </w:rPr>
            </w:pPr>
            <w:r>
              <w:rPr>
                <w:rFonts w:hint="eastAsia" w:ascii="宋体" w:hAnsi="宋体"/>
                <w:sz w:val="21"/>
                <w:szCs w:val="21"/>
              </w:rPr>
              <w:t>（</w:t>
            </w:r>
            <w:r>
              <w:rPr>
                <w:rFonts w:ascii="宋体" w:hAnsi="宋体"/>
                <w:sz w:val="21"/>
                <w:szCs w:val="21"/>
              </w:rPr>
              <w:t>1</w:t>
            </w:r>
            <w:r>
              <w:rPr>
                <w:rFonts w:hint="eastAsia" w:ascii="宋体" w:hAnsi="宋体"/>
                <w:sz w:val="21"/>
                <w:szCs w:val="21"/>
              </w:rPr>
              <w:t>）查询渠道：“信用中国”（www.creditchina.gov.cn）、“中国政府采购网”（www.ccgp.gov.cn）；</w:t>
            </w:r>
          </w:p>
          <w:p>
            <w:pPr>
              <w:adjustRightInd w:val="0"/>
              <w:snapToGrid w:val="0"/>
              <w:spacing w:line="288" w:lineRule="auto"/>
              <w:rPr>
                <w:rFonts w:ascii="宋体" w:hAnsi="宋体"/>
                <w:sz w:val="21"/>
                <w:szCs w:val="21"/>
              </w:rPr>
            </w:pPr>
            <w:r>
              <w:rPr>
                <w:rFonts w:hint="eastAsia" w:ascii="宋体" w:hAnsi="宋体"/>
                <w:sz w:val="21"/>
                <w:szCs w:val="21"/>
              </w:rPr>
              <w:t>（</w:t>
            </w:r>
            <w:r>
              <w:rPr>
                <w:rFonts w:ascii="宋体" w:hAnsi="宋体"/>
                <w:sz w:val="21"/>
                <w:szCs w:val="21"/>
              </w:rPr>
              <w:t>2</w:t>
            </w:r>
            <w:r>
              <w:rPr>
                <w:rFonts w:hint="eastAsia" w:ascii="宋体" w:hAnsi="宋体"/>
                <w:sz w:val="21"/>
                <w:szCs w:val="21"/>
              </w:rPr>
              <w:t>）信用信息查询记录和证据留存具体方式：采购代理机构经办人和监督人员将查询网页打印、签名与其他采购文件一并保存；</w:t>
            </w:r>
          </w:p>
          <w:p>
            <w:pPr>
              <w:adjustRightInd w:val="0"/>
              <w:snapToGrid w:val="0"/>
              <w:spacing w:line="288" w:lineRule="auto"/>
              <w:rPr>
                <w:rFonts w:ascii="宋体" w:hAnsi="宋体"/>
                <w:sz w:val="21"/>
                <w:szCs w:val="21"/>
              </w:rPr>
            </w:pPr>
            <w:r>
              <w:rPr>
                <w:rFonts w:hint="eastAsia" w:ascii="宋体" w:hAnsi="宋体"/>
                <w:sz w:val="21"/>
                <w:szCs w:val="21"/>
              </w:rPr>
              <w:t>（</w:t>
            </w:r>
            <w:r>
              <w:rPr>
                <w:rFonts w:ascii="宋体" w:hAnsi="宋体"/>
                <w:sz w:val="21"/>
                <w:szCs w:val="21"/>
              </w:rPr>
              <w:t>3</w:t>
            </w:r>
            <w:r>
              <w:rPr>
                <w:rFonts w:hint="eastAsia" w:ascii="宋体" w:hAnsi="宋体"/>
                <w:bCs/>
                <w:sz w:val="21"/>
                <w:szCs w:val="21"/>
              </w:rPr>
              <w:t>）信用信息的使用规则：投标人被列入失信被执行人、重大税收违法案件当事人名单、政府采购严重违法失信行为记录名单的，拒绝其参与采购活动。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2" w:hRule="atLeast"/>
        </w:trPr>
        <w:tc>
          <w:tcPr>
            <w:tcW w:w="1129" w:type="dxa"/>
            <w:vAlign w:val="center"/>
          </w:tcPr>
          <w:p>
            <w:pPr>
              <w:adjustRightInd w:val="0"/>
              <w:snapToGrid w:val="0"/>
              <w:spacing w:line="288" w:lineRule="auto"/>
              <w:jc w:val="center"/>
              <w:rPr>
                <w:rFonts w:ascii="宋体" w:hAnsi="宋体"/>
                <w:sz w:val="21"/>
                <w:szCs w:val="21"/>
              </w:rPr>
            </w:pPr>
            <w:r>
              <w:rPr>
                <w:rFonts w:hint="eastAsia" w:ascii="宋体" w:hAnsi="宋体"/>
                <w:sz w:val="21"/>
                <w:szCs w:val="21"/>
              </w:rPr>
              <w:t>（九）</w:t>
            </w:r>
          </w:p>
        </w:tc>
        <w:tc>
          <w:tcPr>
            <w:tcW w:w="1701" w:type="dxa"/>
            <w:vAlign w:val="center"/>
          </w:tcPr>
          <w:p>
            <w:pPr>
              <w:adjustRightInd w:val="0"/>
              <w:snapToGrid w:val="0"/>
              <w:spacing w:line="288" w:lineRule="auto"/>
              <w:jc w:val="center"/>
              <w:rPr>
                <w:rFonts w:ascii="宋体" w:hAnsi="宋体"/>
                <w:sz w:val="21"/>
                <w:szCs w:val="21"/>
              </w:rPr>
            </w:pPr>
            <w:r>
              <w:rPr>
                <w:rFonts w:hint="eastAsia" w:ascii="宋体" w:hAnsi="宋体"/>
                <w:sz w:val="21"/>
                <w:szCs w:val="21"/>
              </w:rPr>
              <w:t>资格审查要求的资格证明材料</w:t>
            </w:r>
          </w:p>
        </w:tc>
        <w:tc>
          <w:tcPr>
            <w:tcW w:w="6663" w:type="dxa"/>
            <w:vAlign w:val="center"/>
          </w:tcPr>
          <w:p>
            <w:pPr>
              <w:adjustRightInd w:val="0"/>
              <w:snapToGrid w:val="0"/>
              <w:spacing w:line="288" w:lineRule="auto"/>
              <w:jc w:val="left"/>
              <w:rPr>
                <w:rFonts w:ascii="宋体" w:hAnsi="宋体"/>
                <w:b/>
                <w:spacing w:val="-6"/>
                <w:sz w:val="21"/>
                <w:szCs w:val="21"/>
              </w:rPr>
            </w:pPr>
            <w:r>
              <w:rPr>
                <w:rFonts w:hint="eastAsia" w:ascii="宋体" w:hAnsi="宋体"/>
                <w:b/>
                <w:spacing w:val="-6"/>
                <w:sz w:val="21"/>
                <w:szCs w:val="21"/>
              </w:rPr>
              <w:t>资格审查要求的资格证明材料（均需加盖公章）</w:t>
            </w:r>
          </w:p>
          <w:p>
            <w:pPr>
              <w:adjustRightInd w:val="0"/>
              <w:snapToGrid w:val="0"/>
              <w:spacing w:line="288" w:lineRule="auto"/>
              <w:rPr>
                <w:rFonts w:ascii="宋体" w:hAnsi="宋体"/>
                <w:bCs/>
                <w:sz w:val="21"/>
                <w:szCs w:val="21"/>
              </w:rPr>
            </w:pPr>
            <w:r>
              <w:rPr>
                <w:rFonts w:hint="eastAsia" w:ascii="宋体" w:hAnsi="宋体"/>
                <w:sz w:val="21"/>
                <w:szCs w:val="21"/>
              </w:rPr>
              <w:t>（</w:t>
            </w:r>
            <w:r>
              <w:rPr>
                <w:rFonts w:hint="eastAsia" w:ascii="宋体" w:hAnsi="宋体"/>
                <w:bCs/>
                <w:sz w:val="21"/>
                <w:szCs w:val="21"/>
              </w:rPr>
              <w:t>1）有效的法人或者其他组织的营业执照等证明文件，自然人的身份证明；</w:t>
            </w:r>
          </w:p>
          <w:p>
            <w:pPr>
              <w:adjustRightInd w:val="0"/>
              <w:snapToGrid w:val="0"/>
              <w:spacing w:line="288" w:lineRule="auto"/>
              <w:rPr>
                <w:rFonts w:ascii="宋体" w:hAnsi="宋体"/>
                <w:bCs/>
                <w:sz w:val="21"/>
                <w:szCs w:val="21"/>
              </w:rPr>
            </w:pPr>
            <w:r>
              <w:rPr>
                <w:rFonts w:hint="eastAsia" w:ascii="宋体" w:hAnsi="宋体"/>
                <w:sz w:val="21"/>
                <w:szCs w:val="21"/>
              </w:rPr>
              <w:t>（</w:t>
            </w:r>
            <w:r>
              <w:rPr>
                <w:rFonts w:hint="eastAsia" w:ascii="宋体" w:hAnsi="宋体"/>
                <w:bCs/>
                <w:sz w:val="21"/>
                <w:szCs w:val="21"/>
              </w:rPr>
              <w:t>2）符合参加政府采购活动应当具备的一般条件的承诺函；</w:t>
            </w:r>
          </w:p>
          <w:p>
            <w:pPr>
              <w:adjustRightInd w:val="0"/>
              <w:snapToGrid w:val="0"/>
              <w:spacing w:line="288" w:lineRule="auto"/>
              <w:rPr>
                <w:rFonts w:ascii="宋体" w:hAnsi="宋体"/>
                <w:bCs/>
                <w:sz w:val="21"/>
                <w:szCs w:val="21"/>
              </w:rPr>
            </w:pPr>
            <w:r>
              <w:rPr>
                <w:rFonts w:hint="eastAsia" w:ascii="宋体" w:hAnsi="宋体"/>
                <w:bCs/>
                <w:sz w:val="21"/>
                <w:szCs w:val="21"/>
              </w:rPr>
              <w:t>（</w:t>
            </w:r>
            <w:r>
              <w:rPr>
                <w:rFonts w:ascii="宋体" w:hAnsi="宋体"/>
                <w:bCs/>
                <w:sz w:val="21"/>
                <w:szCs w:val="21"/>
              </w:rPr>
              <w:t>3</w:t>
            </w:r>
            <w:r>
              <w:rPr>
                <w:rFonts w:hint="eastAsia" w:ascii="宋体" w:hAnsi="宋体"/>
                <w:bCs/>
                <w:sz w:val="21"/>
                <w:szCs w:val="21"/>
              </w:rPr>
              <w:t>）</w:t>
            </w:r>
            <w:r>
              <w:rPr>
                <w:rFonts w:ascii="宋体" w:hAnsi="宋体"/>
                <w:bCs/>
                <w:sz w:val="21"/>
                <w:szCs w:val="21"/>
              </w:rPr>
              <w:t>落实政府采购政策需满足的资格要求：</w:t>
            </w:r>
          </w:p>
          <w:p>
            <w:pPr>
              <w:adjustRightInd w:val="0"/>
              <w:snapToGrid w:val="0"/>
              <w:spacing w:line="288" w:lineRule="auto"/>
              <w:ind w:firstLine="420" w:firstLineChars="200"/>
              <w:rPr>
                <w:rFonts w:ascii="宋体" w:hAnsi="宋体"/>
                <w:bCs/>
                <w:sz w:val="21"/>
                <w:szCs w:val="21"/>
              </w:rPr>
            </w:pPr>
            <w:r>
              <w:rPr>
                <w:rFonts w:hint="eastAsia" w:ascii="宋体" w:hAnsi="宋体"/>
                <w:bCs/>
                <w:sz w:val="21"/>
                <w:szCs w:val="21"/>
              </w:rPr>
              <w:t>中小企业声明函（若属于中小企业）；</w:t>
            </w:r>
          </w:p>
          <w:p>
            <w:pPr>
              <w:adjustRightInd w:val="0"/>
              <w:snapToGrid w:val="0"/>
              <w:spacing w:line="288" w:lineRule="auto"/>
              <w:ind w:firstLine="420" w:firstLineChars="200"/>
              <w:rPr>
                <w:rFonts w:ascii="宋体" w:hAnsi="宋体"/>
                <w:bCs/>
                <w:sz w:val="21"/>
                <w:szCs w:val="21"/>
              </w:rPr>
            </w:pPr>
            <w:r>
              <w:rPr>
                <w:rFonts w:hint="eastAsia" w:ascii="宋体" w:hAnsi="宋体"/>
                <w:bCs/>
                <w:sz w:val="21"/>
                <w:szCs w:val="21"/>
              </w:rPr>
              <w:t>属于监狱企业的证明文件（若属于监狱企业）；</w:t>
            </w:r>
          </w:p>
          <w:p>
            <w:pPr>
              <w:adjustRightInd w:val="0"/>
              <w:snapToGrid w:val="0"/>
              <w:spacing w:line="288" w:lineRule="auto"/>
              <w:ind w:firstLine="420" w:firstLineChars="200"/>
              <w:rPr>
                <w:rFonts w:ascii="宋体" w:hAnsi="宋体"/>
                <w:bCs/>
                <w:sz w:val="21"/>
                <w:szCs w:val="21"/>
              </w:rPr>
            </w:pPr>
            <w:r>
              <w:rPr>
                <w:rFonts w:hint="eastAsia" w:ascii="宋体" w:hAnsi="宋体"/>
                <w:bCs/>
                <w:sz w:val="21"/>
                <w:szCs w:val="21"/>
              </w:rPr>
              <w:t>残疾人福利性单位声明函（若属于残疾人福利性单位）；</w:t>
            </w:r>
          </w:p>
          <w:p>
            <w:pPr>
              <w:adjustRightInd w:val="0"/>
              <w:snapToGrid w:val="0"/>
              <w:spacing w:line="288" w:lineRule="auto"/>
              <w:rPr>
                <w:rFonts w:ascii="宋体" w:hAnsi="宋体"/>
                <w:bCs/>
                <w:sz w:val="21"/>
                <w:szCs w:val="21"/>
              </w:rPr>
            </w:pPr>
            <w:r>
              <w:rPr>
                <w:rFonts w:hint="eastAsia" w:ascii="宋体" w:hAnsi="宋体"/>
                <w:sz w:val="21"/>
                <w:szCs w:val="21"/>
              </w:rPr>
              <w:t>（</w:t>
            </w:r>
            <w:r>
              <w:rPr>
                <w:rFonts w:ascii="宋体" w:hAnsi="宋体"/>
                <w:sz w:val="21"/>
                <w:szCs w:val="21"/>
              </w:rPr>
              <w:t>4）</w:t>
            </w:r>
            <w:r>
              <w:rPr>
                <w:rFonts w:hint="eastAsia" w:ascii="宋体" w:hAnsi="宋体"/>
                <w:sz w:val="21"/>
                <w:szCs w:val="21"/>
              </w:rPr>
              <w:t>本项目的特定资格要求</w:t>
            </w:r>
            <w:r>
              <w:rPr>
                <w:rFonts w:ascii="宋体" w:hAnsi="宋体"/>
                <w:sz w:val="21"/>
                <w:szCs w:val="21"/>
              </w:rPr>
              <w:t>证明材料</w:t>
            </w:r>
            <w:r>
              <w:rPr>
                <w:rFonts w:ascii="宋体" w:hAnsi="宋体"/>
                <w:bCs/>
                <w:sz w:val="21"/>
                <w:szCs w:val="21"/>
              </w:rPr>
              <w:t>：</w:t>
            </w:r>
            <w:r>
              <w:rPr>
                <w:rFonts w:hint="eastAsia" w:ascii="宋体" w:hAnsi="宋体"/>
                <w:bCs/>
                <w:sz w:val="21"/>
                <w:szCs w:val="21"/>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129" w:type="dxa"/>
            <w:vAlign w:val="center"/>
          </w:tcPr>
          <w:p>
            <w:pPr>
              <w:adjustRightInd w:val="0"/>
              <w:snapToGrid w:val="0"/>
              <w:spacing w:line="288" w:lineRule="auto"/>
              <w:jc w:val="center"/>
              <w:rPr>
                <w:rFonts w:ascii="宋体" w:hAnsi="宋体"/>
                <w:sz w:val="21"/>
                <w:szCs w:val="21"/>
              </w:rPr>
            </w:pPr>
            <w:r>
              <w:rPr>
                <w:rFonts w:hint="eastAsia" w:ascii="宋体" w:hAnsi="宋体"/>
                <w:sz w:val="21"/>
                <w:szCs w:val="21"/>
              </w:rPr>
              <w:t>（十）</w:t>
            </w:r>
          </w:p>
        </w:tc>
        <w:tc>
          <w:tcPr>
            <w:tcW w:w="1701" w:type="dxa"/>
            <w:vAlign w:val="center"/>
          </w:tcPr>
          <w:p>
            <w:pPr>
              <w:adjustRightInd w:val="0"/>
              <w:snapToGrid w:val="0"/>
              <w:spacing w:line="288" w:lineRule="auto"/>
              <w:jc w:val="center"/>
              <w:rPr>
                <w:rFonts w:ascii="宋体" w:hAnsi="宋体"/>
                <w:sz w:val="21"/>
                <w:szCs w:val="21"/>
              </w:rPr>
            </w:pPr>
            <w:r>
              <w:rPr>
                <w:rFonts w:hint="eastAsia" w:ascii="宋体" w:hAnsi="宋体"/>
                <w:sz w:val="21"/>
                <w:szCs w:val="21"/>
              </w:rPr>
              <w:t>投标文件装订、份数、包装</w:t>
            </w:r>
          </w:p>
        </w:tc>
        <w:tc>
          <w:tcPr>
            <w:tcW w:w="6663" w:type="dxa"/>
            <w:vAlign w:val="center"/>
          </w:tcPr>
          <w:p>
            <w:pPr>
              <w:adjustRightInd w:val="0"/>
              <w:snapToGrid w:val="0"/>
              <w:spacing w:line="288" w:lineRule="auto"/>
              <w:jc w:val="left"/>
              <w:rPr>
                <w:rFonts w:ascii="宋体" w:hAnsi="宋体"/>
                <w:bCs/>
                <w:spacing w:val="-6"/>
                <w:sz w:val="21"/>
                <w:szCs w:val="21"/>
              </w:rPr>
            </w:pPr>
            <w:r>
              <w:rPr>
                <w:rFonts w:ascii="宋体" w:hAnsi="宋体"/>
                <w:b/>
                <w:bCs/>
                <w:spacing w:val="-6"/>
                <w:sz w:val="21"/>
                <w:szCs w:val="21"/>
              </w:rPr>
              <w:t>1</w:t>
            </w:r>
            <w:r>
              <w:rPr>
                <w:rFonts w:hint="eastAsia" w:ascii="宋体" w:hAnsi="宋体"/>
                <w:b/>
                <w:bCs/>
                <w:spacing w:val="-6"/>
                <w:sz w:val="21"/>
                <w:szCs w:val="21"/>
              </w:rPr>
              <w:t>.装订与份数：报价文件单独装订成册，资格文件、商务和技术文件合并装订成册，其中正本一份、副本五份，投标文件的封面应注明“正本“、“副本”字样；</w:t>
            </w:r>
          </w:p>
          <w:p>
            <w:pPr>
              <w:adjustRightInd w:val="0"/>
              <w:snapToGrid w:val="0"/>
              <w:spacing w:line="288" w:lineRule="auto"/>
              <w:jc w:val="left"/>
              <w:rPr>
                <w:rFonts w:ascii="宋体" w:hAnsi="宋体"/>
                <w:b/>
                <w:bCs/>
                <w:spacing w:val="-6"/>
                <w:sz w:val="21"/>
                <w:szCs w:val="21"/>
              </w:rPr>
            </w:pPr>
            <w:r>
              <w:rPr>
                <w:rFonts w:hint="eastAsia" w:ascii="宋体" w:hAnsi="宋体"/>
                <w:bCs/>
                <w:spacing w:val="-6"/>
                <w:sz w:val="21"/>
                <w:szCs w:val="21"/>
              </w:rPr>
              <w:t>▲</w:t>
            </w:r>
            <w:r>
              <w:rPr>
                <w:rFonts w:hint="eastAsia" w:ascii="宋体" w:hAnsi="宋体"/>
                <w:b/>
                <w:bCs/>
                <w:spacing w:val="-6"/>
                <w:sz w:val="21"/>
                <w:szCs w:val="21"/>
              </w:rPr>
              <w:t>活页装订（卡条、抽杆夹、订书机、散装）的投标文件无效；</w:t>
            </w:r>
          </w:p>
          <w:p>
            <w:pPr>
              <w:adjustRightInd w:val="0"/>
              <w:snapToGrid w:val="0"/>
              <w:spacing w:line="288" w:lineRule="auto"/>
              <w:jc w:val="left"/>
              <w:rPr>
                <w:rFonts w:ascii="宋体" w:hAnsi="宋体"/>
                <w:bCs/>
                <w:spacing w:val="-6"/>
                <w:sz w:val="21"/>
                <w:szCs w:val="21"/>
              </w:rPr>
            </w:pPr>
            <w:r>
              <w:rPr>
                <w:rFonts w:ascii="宋体" w:hAnsi="宋体"/>
                <w:b/>
                <w:bCs/>
                <w:spacing w:val="-6"/>
                <w:sz w:val="21"/>
                <w:szCs w:val="21"/>
              </w:rPr>
              <w:t>2</w:t>
            </w:r>
            <w:r>
              <w:rPr>
                <w:rFonts w:hint="eastAsia" w:ascii="宋体" w:hAnsi="宋体"/>
                <w:b/>
                <w:bCs/>
                <w:spacing w:val="-6"/>
                <w:sz w:val="21"/>
                <w:szCs w:val="21"/>
              </w:rPr>
              <w:t>.包装：报价文件单独密封包装，</w:t>
            </w:r>
            <w:r>
              <w:rPr>
                <w:rFonts w:ascii="宋体" w:hAnsi="宋体"/>
                <w:b/>
                <w:bCs/>
                <w:spacing w:val="-6"/>
                <w:sz w:val="21"/>
                <w:szCs w:val="21"/>
              </w:rPr>
              <w:t>资格文件、商务和技术文件</w:t>
            </w:r>
            <w:r>
              <w:rPr>
                <w:rFonts w:hint="eastAsia" w:ascii="宋体" w:hAnsi="宋体"/>
                <w:b/>
                <w:bCs/>
                <w:spacing w:val="-6"/>
                <w:sz w:val="21"/>
                <w:szCs w:val="21"/>
              </w:rPr>
              <w:t>合并密封包装，相同部分的正副本可密封在同一个密封袋内。</w:t>
            </w:r>
            <w:r>
              <w:rPr>
                <w:rFonts w:hint="eastAsia" w:ascii="宋体" w:hAnsi="宋体"/>
                <w:bCs/>
                <w:spacing w:val="-6"/>
                <w:sz w:val="21"/>
                <w:szCs w:val="21"/>
              </w:rPr>
              <w:t>投标人应在投标文件包装封面上注明投标人名称、投标人地址、投标文件名称（报价文件/资格文件、商务和技术文件）、投标项目名称、项目编号、</w:t>
            </w:r>
            <w:r>
              <w:rPr>
                <w:rFonts w:ascii="宋体" w:hAnsi="宋体"/>
                <w:bCs/>
                <w:spacing w:val="-6"/>
                <w:sz w:val="21"/>
                <w:szCs w:val="21"/>
              </w:rPr>
              <w:t>标项</w:t>
            </w:r>
            <w:r>
              <w:rPr>
                <w:rFonts w:hint="eastAsia" w:ascii="宋体" w:hAnsi="宋体"/>
                <w:bCs/>
                <w:spacing w:val="-6"/>
                <w:sz w:val="21"/>
                <w:szCs w:val="21"/>
              </w:rPr>
              <w:t>及“开标时启封”字样，并加盖投标人公章；</w:t>
            </w:r>
          </w:p>
          <w:p>
            <w:pPr>
              <w:adjustRightInd w:val="0"/>
              <w:snapToGrid w:val="0"/>
              <w:spacing w:line="288" w:lineRule="auto"/>
              <w:jc w:val="left"/>
              <w:rPr>
                <w:rFonts w:ascii="宋体" w:hAnsi="宋体"/>
                <w:bCs/>
                <w:spacing w:val="-6"/>
                <w:sz w:val="21"/>
                <w:szCs w:val="21"/>
              </w:rPr>
            </w:pPr>
            <w:r>
              <w:rPr>
                <w:rFonts w:hint="eastAsia" w:ascii="宋体" w:hAnsi="宋体"/>
                <w:b/>
                <w:bCs/>
                <w:spacing w:val="-6"/>
                <w:sz w:val="21"/>
                <w:szCs w:val="21"/>
              </w:rPr>
              <w:t>报价文件未按要求密封导致</w:t>
            </w:r>
            <w:r>
              <w:rPr>
                <w:rFonts w:ascii="宋体" w:hAnsi="宋体"/>
                <w:b/>
                <w:bCs/>
                <w:spacing w:val="-6"/>
                <w:sz w:val="21"/>
                <w:szCs w:val="21"/>
              </w:rPr>
              <w:t>开标时发生报价泄露</w:t>
            </w:r>
            <w:r>
              <w:rPr>
                <w:rFonts w:hint="eastAsia" w:ascii="宋体" w:hAnsi="宋体"/>
                <w:b/>
                <w:bCs/>
                <w:spacing w:val="-6"/>
                <w:sz w:val="21"/>
                <w:szCs w:val="21"/>
              </w:rPr>
              <w:t>，投标人</w:t>
            </w:r>
            <w:r>
              <w:rPr>
                <w:rFonts w:ascii="宋体" w:hAnsi="宋体"/>
                <w:b/>
                <w:bCs/>
                <w:spacing w:val="-6"/>
                <w:sz w:val="21"/>
                <w:szCs w:val="21"/>
              </w:rPr>
              <w:t>自行承担相关责任</w:t>
            </w:r>
            <w:r>
              <w:rPr>
                <w:rFonts w:hint="eastAsia" w:ascii="宋体" w:hAnsi="宋体"/>
                <w:b/>
                <w:bCs/>
                <w:spacing w:val="-6"/>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129" w:type="dxa"/>
            <w:vAlign w:val="center"/>
          </w:tcPr>
          <w:p>
            <w:pPr>
              <w:adjustRightInd w:val="0"/>
              <w:snapToGrid w:val="0"/>
              <w:spacing w:line="288" w:lineRule="auto"/>
              <w:jc w:val="center"/>
              <w:rPr>
                <w:rFonts w:ascii="宋体" w:hAnsi="宋体"/>
                <w:sz w:val="21"/>
                <w:szCs w:val="21"/>
              </w:rPr>
            </w:pPr>
            <w:r>
              <w:rPr>
                <w:rFonts w:hint="eastAsia" w:ascii="宋体" w:hAnsi="宋体"/>
                <w:sz w:val="21"/>
                <w:szCs w:val="21"/>
              </w:rPr>
              <w:t>（十一）</w:t>
            </w:r>
          </w:p>
        </w:tc>
        <w:tc>
          <w:tcPr>
            <w:tcW w:w="1701" w:type="dxa"/>
            <w:vAlign w:val="center"/>
          </w:tcPr>
          <w:p>
            <w:pPr>
              <w:adjustRightInd w:val="0"/>
              <w:snapToGrid w:val="0"/>
              <w:spacing w:line="288" w:lineRule="auto"/>
              <w:jc w:val="center"/>
              <w:rPr>
                <w:rFonts w:ascii="宋体" w:hAnsi="宋体"/>
                <w:sz w:val="21"/>
                <w:szCs w:val="21"/>
              </w:rPr>
            </w:pPr>
            <w:r>
              <w:rPr>
                <w:rFonts w:hint="eastAsia" w:ascii="宋体" w:hAnsi="宋体"/>
                <w:sz w:val="21"/>
                <w:szCs w:val="21"/>
              </w:rPr>
              <w:t>投标报价</w:t>
            </w:r>
          </w:p>
        </w:tc>
        <w:tc>
          <w:tcPr>
            <w:tcW w:w="6663" w:type="dxa"/>
            <w:vAlign w:val="center"/>
          </w:tcPr>
          <w:p>
            <w:pPr>
              <w:adjustRightInd w:val="0"/>
              <w:snapToGrid w:val="0"/>
              <w:spacing w:line="288" w:lineRule="auto"/>
              <w:rPr>
                <w:rFonts w:ascii="宋体" w:hAnsi="宋体"/>
                <w:sz w:val="21"/>
                <w:szCs w:val="21"/>
              </w:rPr>
            </w:pPr>
            <w:r>
              <w:rPr>
                <w:rFonts w:hint="eastAsia" w:ascii="宋体" w:hAnsi="宋体"/>
                <w:sz w:val="21"/>
                <w:szCs w:val="21"/>
              </w:rPr>
              <w:t>1.报价应按招标文件要求的格式编制、填写报价内容（可自行增行），未按招标文件要求编制、填写的投标文件可能被拒绝；</w:t>
            </w:r>
          </w:p>
          <w:p>
            <w:pPr>
              <w:adjustRightInd w:val="0"/>
              <w:snapToGrid w:val="0"/>
              <w:spacing w:line="288" w:lineRule="auto"/>
              <w:rPr>
                <w:rFonts w:ascii="宋体" w:hAnsi="宋体"/>
                <w:sz w:val="21"/>
                <w:szCs w:val="21"/>
              </w:rPr>
            </w:pPr>
            <w:r>
              <w:rPr>
                <w:rFonts w:hint="eastAsia" w:ascii="宋体" w:hAnsi="宋体"/>
                <w:sz w:val="21"/>
                <w:szCs w:val="21"/>
              </w:rPr>
              <w:t>2.以人民币报价；</w:t>
            </w:r>
          </w:p>
          <w:p>
            <w:pPr>
              <w:adjustRightInd w:val="0"/>
              <w:snapToGrid w:val="0"/>
              <w:spacing w:line="288" w:lineRule="auto"/>
              <w:rPr>
                <w:rFonts w:ascii="宋体" w:hAnsi="宋体"/>
                <w:sz w:val="21"/>
                <w:szCs w:val="21"/>
              </w:rPr>
            </w:pPr>
            <w:r>
              <w:rPr>
                <w:rFonts w:hint="eastAsia" w:ascii="宋体" w:hAnsi="宋体"/>
                <w:sz w:val="21"/>
                <w:szCs w:val="21"/>
              </w:rPr>
              <w:t>3.投标报价是履行合同的最终价格，有关本项目实施所涉及的一切费用均计入报价；</w:t>
            </w:r>
          </w:p>
          <w:p>
            <w:pPr>
              <w:adjustRightInd w:val="0"/>
              <w:snapToGrid w:val="0"/>
              <w:spacing w:line="288" w:lineRule="auto"/>
              <w:rPr>
                <w:rFonts w:ascii="宋体" w:hAnsi="宋体"/>
                <w:sz w:val="21"/>
                <w:szCs w:val="21"/>
              </w:rPr>
            </w:pPr>
            <w:r>
              <w:rPr>
                <w:rFonts w:hint="eastAsia" w:ascii="宋体" w:hAnsi="宋体"/>
                <w:sz w:val="21"/>
                <w:szCs w:val="21"/>
              </w:rPr>
              <w:t>4.投标文件只允许有一个报价，有选择的报价将不予接受；</w:t>
            </w:r>
          </w:p>
          <w:p>
            <w:pPr>
              <w:adjustRightInd w:val="0"/>
              <w:snapToGrid w:val="0"/>
              <w:spacing w:line="288" w:lineRule="auto"/>
              <w:rPr>
                <w:rFonts w:ascii="宋体" w:hAnsi="宋体"/>
                <w:sz w:val="21"/>
                <w:szCs w:val="21"/>
              </w:rPr>
            </w:pPr>
            <w:r>
              <w:rPr>
                <w:rFonts w:hint="eastAsia" w:ascii="宋体" w:hAnsi="宋体" w:cs="宋体"/>
                <w:sz w:val="21"/>
                <w:szCs w:val="21"/>
              </w:rPr>
              <w:t>▲5.采购人将以合同形式有偿取得货物或服务，不接受投标人给予的赠品、回扣或者与采购无关的其他商品、服务；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129" w:type="dxa"/>
            <w:vAlign w:val="center"/>
          </w:tcPr>
          <w:p>
            <w:pPr>
              <w:adjustRightInd w:val="0"/>
              <w:snapToGrid w:val="0"/>
              <w:spacing w:line="288" w:lineRule="auto"/>
              <w:jc w:val="center"/>
              <w:rPr>
                <w:rFonts w:ascii="宋体" w:hAnsi="宋体"/>
                <w:sz w:val="21"/>
                <w:szCs w:val="21"/>
              </w:rPr>
            </w:pPr>
            <w:r>
              <w:rPr>
                <w:rFonts w:hint="eastAsia" w:ascii="宋体" w:hAnsi="宋体"/>
                <w:sz w:val="21"/>
                <w:szCs w:val="21"/>
              </w:rPr>
              <w:t>（十二）</w:t>
            </w:r>
          </w:p>
        </w:tc>
        <w:tc>
          <w:tcPr>
            <w:tcW w:w="1701" w:type="dxa"/>
            <w:vAlign w:val="center"/>
          </w:tcPr>
          <w:p>
            <w:pPr>
              <w:adjustRightInd w:val="0"/>
              <w:snapToGrid w:val="0"/>
              <w:spacing w:line="288" w:lineRule="auto"/>
              <w:jc w:val="center"/>
              <w:rPr>
                <w:rFonts w:ascii="宋体" w:hAnsi="宋体"/>
                <w:sz w:val="21"/>
                <w:szCs w:val="21"/>
              </w:rPr>
            </w:pPr>
            <w:r>
              <w:rPr>
                <w:rFonts w:hint="eastAsia" w:ascii="宋体" w:hAnsi="宋体"/>
                <w:sz w:val="21"/>
                <w:szCs w:val="21"/>
              </w:rPr>
              <w:t>投标有效期</w:t>
            </w:r>
          </w:p>
        </w:tc>
        <w:tc>
          <w:tcPr>
            <w:tcW w:w="6663" w:type="dxa"/>
            <w:vAlign w:val="center"/>
          </w:tcPr>
          <w:p>
            <w:pPr>
              <w:adjustRightInd w:val="0"/>
              <w:snapToGrid w:val="0"/>
              <w:spacing w:line="288" w:lineRule="auto"/>
              <w:rPr>
                <w:rFonts w:ascii="宋体" w:hAnsi="宋体"/>
                <w:sz w:val="21"/>
                <w:szCs w:val="21"/>
              </w:rPr>
            </w:pPr>
            <w:r>
              <w:rPr>
                <w:rFonts w:hint="eastAsia" w:ascii="宋体" w:hAnsi="宋体"/>
                <w:spacing w:val="-6"/>
                <w:sz w:val="21"/>
                <w:szCs w:val="21"/>
              </w:rPr>
              <w:t>▲从提交投标文件的截止之日起</w:t>
            </w:r>
            <w:r>
              <w:rPr>
                <w:rFonts w:ascii="宋体" w:hAnsi="宋体"/>
                <w:spacing w:val="-6"/>
                <w:sz w:val="21"/>
                <w:szCs w:val="21"/>
              </w:rPr>
              <w:t>90天，在原投标有效期满之前，如果出现特殊情况，采购人或采购代理机构以书面形式通知投标人延长投标有效期。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129" w:type="dxa"/>
            <w:vAlign w:val="center"/>
          </w:tcPr>
          <w:p>
            <w:pPr>
              <w:adjustRightInd w:val="0"/>
              <w:snapToGrid w:val="0"/>
              <w:spacing w:line="288" w:lineRule="auto"/>
              <w:jc w:val="center"/>
              <w:rPr>
                <w:rFonts w:ascii="宋体" w:hAnsi="宋体"/>
                <w:sz w:val="21"/>
                <w:szCs w:val="21"/>
              </w:rPr>
            </w:pPr>
            <w:r>
              <w:rPr>
                <w:rFonts w:hint="eastAsia" w:ascii="宋体" w:hAnsi="宋体"/>
                <w:sz w:val="21"/>
                <w:szCs w:val="21"/>
              </w:rPr>
              <w:t>（十三）</w:t>
            </w:r>
          </w:p>
        </w:tc>
        <w:tc>
          <w:tcPr>
            <w:tcW w:w="1701" w:type="dxa"/>
            <w:vAlign w:val="center"/>
          </w:tcPr>
          <w:p>
            <w:pPr>
              <w:adjustRightInd w:val="0"/>
              <w:snapToGrid w:val="0"/>
              <w:spacing w:line="288" w:lineRule="auto"/>
              <w:jc w:val="center"/>
              <w:rPr>
                <w:rFonts w:ascii="宋体" w:hAnsi="宋体"/>
                <w:sz w:val="21"/>
                <w:szCs w:val="21"/>
              </w:rPr>
            </w:pPr>
            <w:r>
              <w:rPr>
                <w:rFonts w:hint="eastAsia" w:ascii="宋体" w:hAnsi="宋体"/>
                <w:sz w:val="21"/>
                <w:szCs w:val="21"/>
              </w:rPr>
              <w:t>评标方法和评标标准</w:t>
            </w:r>
          </w:p>
        </w:tc>
        <w:tc>
          <w:tcPr>
            <w:tcW w:w="6663" w:type="dxa"/>
            <w:vAlign w:val="center"/>
          </w:tcPr>
          <w:p>
            <w:pPr>
              <w:adjustRightInd w:val="0"/>
              <w:snapToGrid w:val="0"/>
              <w:spacing w:line="288" w:lineRule="auto"/>
              <w:rPr>
                <w:rFonts w:ascii="宋体" w:hAnsi="宋体"/>
                <w:sz w:val="21"/>
                <w:szCs w:val="21"/>
              </w:rPr>
            </w:pPr>
            <w:r>
              <w:rPr>
                <w:rFonts w:ascii="宋体" w:hAnsi="宋体"/>
                <w:sz w:val="21"/>
                <w:szCs w:val="21"/>
              </w:rPr>
              <w:t>详见“</w:t>
            </w:r>
            <w:r>
              <w:rPr>
                <w:rFonts w:hint="eastAsia" w:ascii="宋体" w:hAnsi="宋体"/>
                <w:sz w:val="21"/>
                <w:szCs w:val="21"/>
              </w:rPr>
              <w:t>第四章  评标方法和评标标准</w:t>
            </w:r>
            <w:r>
              <w:rPr>
                <w:rFonts w:ascii="宋体" w:hAnsi="宋体"/>
                <w:sz w:val="21"/>
                <w:szCs w:val="21"/>
              </w:rPr>
              <w:t>”</w:t>
            </w:r>
            <w:r>
              <w:rPr>
                <w:rFonts w:hint="eastAsia" w:ascii="宋体" w:hAnsi="宋体"/>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129" w:type="dxa"/>
            <w:vAlign w:val="center"/>
          </w:tcPr>
          <w:p>
            <w:pPr>
              <w:adjustRightInd w:val="0"/>
              <w:snapToGrid w:val="0"/>
              <w:spacing w:line="288" w:lineRule="auto"/>
              <w:jc w:val="center"/>
              <w:rPr>
                <w:rFonts w:ascii="宋体" w:hAnsi="宋体"/>
                <w:sz w:val="21"/>
                <w:szCs w:val="21"/>
              </w:rPr>
            </w:pPr>
            <w:r>
              <w:rPr>
                <w:rFonts w:ascii="宋体" w:hAnsi="宋体"/>
                <w:sz w:val="21"/>
                <w:szCs w:val="21"/>
              </w:rPr>
              <w:t>（</w:t>
            </w:r>
            <w:r>
              <w:rPr>
                <w:rFonts w:hint="eastAsia" w:ascii="宋体" w:hAnsi="宋体"/>
                <w:sz w:val="21"/>
                <w:szCs w:val="21"/>
              </w:rPr>
              <w:t>十四</w:t>
            </w:r>
            <w:r>
              <w:rPr>
                <w:rFonts w:ascii="宋体" w:hAnsi="宋体"/>
                <w:sz w:val="21"/>
                <w:szCs w:val="21"/>
              </w:rPr>
              <w:t>）</w:t>
            </w:r>
          </w:p>
        </w:tc>
        <w:tc>
          <w:tcPr>
            <w:tcW w:w="1701" w:type="dxa"/>
            <w:vAlign w:val="center"/>
          </w:tcPr>
          <w:p>
            <w:pPr>
              <w:adjustRightInd w:val="0"/>
              <w:snapToGrid w:val="0"/>
              <w:spacing w:line="288" w:lineRule="auto"/>
              <w:jc w:val="center"/>
              <w:rPr>
                <w:rFonts w:ascii="宋体" w:hAnsi="宋体"/>
                <w:sz w:val="21"/>
                <w:szCs w:val="21"/>
              </w:rPr>
            </w:pPr>
            <w:r>
              <w:rPr>
                <w:rFonts w:hint="eastAsia" w:ascii="宋体" w:hAnsi="宋体"/>
                <w:sz w:val="21"/>
                <w:szCs w:val="21"/>
              </w:rPr>
              <w:t>评标结果公示</w:t>
            </w:r>
          </w:p>
        </w:tc>
        <w:tc>
          <w:tcPr>
            <w:tcW w:w="6663" w:type="dxa"/>
            <w:vAlign w:val="center"/>
          </w:tcPr>
          <w:p>
            <w:pPr>
              <w:adjustRightInd w:val="0"/>
              <w:snapToGrid w:val="0"/>
              <w:spacing w:line="288" w:lineRule="auto"/>
              <w:rPr>
                <w:rFonts w:ascii="宋体" w:hAnsi="宋体"/>
                <w:sz w:val="21"/>
                <w:szCs w:val="21"/>
              </w:rPr>
            </w:pPr>
            <w:r>
              <w:rPr>
                <w:rFonts w:hint="eastAsia" w:ascii="宋体" w:hAnsi="宋体"/>
                <w:sz w:val="21"/>
                <w:szCs w:val="21"/>
              </w:rPr>
              <w:t>评标结果公示媒体：中国政府采购网（http://www.ccgp.gov.cn/）。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129" w:type="dxa"/>
            <w:vAlign w:val="center"/>
          </w:tcPr>
          <w:p>
            <w:pPr>
              <w:adjustRightInd w:val="0"/>
              <w:snapToGrid w:val="0"/>
              <w:spacing w:line="288" w:lineRule="auto"/>
              <w:jc w:val="center"/>
              <w:rPr>
                <w:rFonts w:ascii="宋体" w:hAnsi="宋体"/>
                <w:sz w:val="21"/>
                <w:szCs w:val="21"/>
              </w:rPr>
            </w:pPr>
            <w:r>
              <w:rPr>
                <w:rFonts w:hint="eastAsia" w:ascii="宋体" w:hAnsi="宋体"/>
                <w:sz w:val="21"/>
                <w:szCs w:val="21"/>
              </w:rPr>
              <w:t>（十五）</w:t>
            </w:r>
          </w:p>
        </w:tc>
        <w:tc>
          <w:tcPr>
            <w:tcW w:w="1701" w:type="dxa"/>
            <w:vAlign w:val="center"/>
          </w:tcPr>
          <w:p>
            <w:pPr>
              <w:adjustRightInd w:val="0"/>
              <w:snapToGrid w:val="0"/>
              <w:spacing w:line="288" w:lineRule="auto"/>
              <w:jc w:val="center"/>
              <w:rPr>
                <w:rFonts w:ascii="宋体" w:hAnsi="宋体"/>
                <w:sz w:val="21"/>
                <w:szCs w:val="21"/>
              </w:rPr>
            </w:pPr>
            <w:r>
              <w:rPr>
                <w:rFonts w:hint="eastAsia" w:ascii="宋体" w:hAnsi="宋体"/>
                <w:sz w:val="21"/>
                <w:szCs w:val="21"/>
              </w:rPr>
              <w:t>签订合同</w:t>
            </w:r>
          </w:p>
        </w:tc>
        <w:tc>
          <w:tcPr>
            <w:tcW w:w="6663" w:type="dxa"/>
            <w:vAlign w:val="center"/>
          </w:tcPr>
          <w:p>
            <w:pPr>
              <w:adjustRightInd w:val="0"/>
              <w:snapToGrid w:val="0"/>
              <w:spacing w:line="288" w:lineRule="auto"/>
              <w:rPr>
                <w:rFonts w:ascii="宋体" w:hAnsi="宋体"/>
                <w:sz w:val="21"/>
                <w:szCs w:val="21"/>
              </w:rPr>
            </w:pPr>
            <w:r>
              <w:rPr>
                <w:rFonts w:hint="eastAsia" w:ascii="宋体" w:hAnsi="宋体"/>
                <w:sz w:val="21"/>
                <w:szCs w:val="21"/>
              </w:rPr>
              <w:t>中标通知书发出之日起30日内。</w:t>
            </w:r>
          </w:p>
        </w:tc>
      </w:tr>
    </w:tbl>
    <w:p>
      <w:pPr>
        <w:pStyle w:val="15"/>
        <w:adjustRightInd w:val="0"/>
        <w:snapToGrid w:val="0"/>
        <w:spacing w:beforeLines="0" w:afterLines="0" w:line="288" w:lineRule="auto"/>
        <w:jc w:val="center"/>
        <w:outlineLvl w:val="1"/>
        <w:rPr>
          <w:rFonts w:hAnsi="宋体"/>
          <w:b/>
          <w:spacing w:val="-6"/>
          <w:sz w:val="21"/>
          <w:szCs w:val="21"/>
        </w:rPr>
      </w:pPr>
      <w:r>
        <w:rPr>
          <w:rFonts w:hAnsi="宋体"/>
          <w:b/>
          <w:spacing w:val="-6"/>
          <w:sz w:val="21"/>
          <w:szCs w:val="21"/>
        </w:rPr>
        <w:br w:type="page"/>
      </w:r>
      <w:r>
        <w:rPr>
          <w:rFonts w:hAnsi="宋体"/>
          <w:b/>
          <w:spacing w:val="-6"/>
          <w:sz w:val="21"/>
          <w:szCs w:val="21"/>
        </w:rPr>
        <w:t>一</w:t>
      </w:r>
      <w:r>
        <w:rPr>
          <w:rFonts w:hint="eastAsia" w:hAnsi="宋体"/>
          <w:b/>
          <w:spacing w:val="-6"/>
          <w:sz w:val="21"/>
          <w:szCs w:val="21"/>
        </w:rPr>
        <w:t>、</w:t>
      </w:r>
      <w:r>
        <w:rPr>
          <w:rFonts w:hAnsi="宋体"/>
          <w:b/>
          <w:spacing w:val="-6"/>
          <w:sz w:val="21"/>
          <w:szCs w:val="21"/>
        </w:rPr>
        <w:t>总则</w:t>
      </w:r>
    </w:p>
    <w:p>
      <w:pPr>
        <w:adjustRightInd w:val="0"/>
        <w:snapToGrid w:val="0"/>
        <w:spacing w:line="288" w:lineRule="auto"/>
        <w:ind w:firstLine="396" w:firstLineChars="200"/>
        <w:jc w:val="left"/>
        <w:rPr>
          <w:rFonts w:ascii="宋体" w:hAnsi="宋体"/>
          <w:spacing w:val="-6"/>
          <w:sz w:val="21"/>
          <w:szCs w:val="21"/>
        </w:rPr>
      </w:pPr>
      <w:bookmarkStart w:id="36" w:name="_Hlk94018326"/>
      <w:r>
        <w:rPr>
          <w:rFonts w:ascii="宋体" w:hAnsi="宋体"/>
          <w:spacing w:val="-6"/>
          <w:sz w:val="21"/>
          <w:szCs w:val="21"/>
        </w:rPr>
        <w:t>投标人应仔细阅读招标文件的所有内容，按照招标文件的要求提交投标文件，并对所提供的全部资料的真实性承担法律责任。</w:t>
      </w:r>
    </w:p>
    <w:bookmarkEnd w:id="36"/>
    <w:p>
      <w:pPr>
        <w:adjustRightInd w:val="0"/>
        <w:snapToGrid w:val="0"/>
        <w:spacing w:line="288" w:lineRule="auto"/>
        <w:jc w:val="left"/>
        <w:rPr>
          <w:rFonts w:ascii="宋体" w:hAnsi="宋体"/>
          <w:b/>
          <w:spacing w:val="-6"/>
          <w:sz w:val="21"/>
          <w:szCs w:val="21"/>
        </w:rPr>
      </w:pPr>
      <w:r>
        <w:rPr>
          <w:rFonts w:hint="eastAsia" w:ascii="宋体" w:hAnsi="宋体"/>
          <w:b/>
          <w:spacing w:val="-6"/>
          <w:sz w:val="21"/>
          <w:szCs w:val="21"/>
        </w:rPr>
        <w:t>（一</w:t>
      </w:r>
      <w:r>
        <w:rPr>
          <w:rFonts w:ascii="宋体" w:hAnsi="宋体"/>
          <w:b/>
          <w:spacing w:val="-6"/>
          <w:sz w:val="21"/>
          <w:szCs w:val="21"/>
        </w:rPr>
        <w:t>）</w:t>
      </w:r>
      <w:r>
        <w:rPr>
          <w:rFonts w:hint="eastAsia" w:ascii="宋体" w:hAnsi="宋体"/>
          <w:b/>
          <w:spacing w:val="-6"/>
          <w:sz w:val="21"/>
          <w:szCs w:val="21"/>
        </w:rPr>
        <w:t>适用范围</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本招标文件适用于中国林业科学研究院亚热带林业研究所安全保洁物业服务的招标、评标、定标、验收、合同履约、付款等（法律、法规另有规定的，从其规定）。</w:t>
      </w:r>
    </w:p>
    <w:p>
      <w:pPr>
        <w:adjustRightInd w:val="0"/>
        <w:snapToGrid w:val="0"/>
        <w:spacing w:line="288" w:lineRule="auto"/>
        <w:jc w:val="left"/>
        <w:rPr>
          <w:rFonts w:ascii="宋体" w:hAnsi="宋体"/>
          <w:b/>
          <w:spacing w:val="-6"/>
          <w:sz w:val="21"/>
          <w:szCs w:val="21"/>
        </w:rPr>
      </w:pPr>
      <w:r>
        <w:rPr>
          <w:rFonts w:hint="eastAsia" w:ascii="宋体" w:hAnsi="宋体"/>
          <w:b/>
          <w:spacing w:val="-6"/>
          <w:sz w:val="21"/>
          <w:szCs w:val="21"/>
        </w:rPr>
        <w:t>（二）定义</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1.“采购</w:t>
      </w:r>
      <w:r>
        <w:rPr>
          <w:rFonts w:ascii="宋体" w:hAnsi="宋体"/>
          <w:spacing w:val="-6"/>
          <w:sz w:val="21"/>
          <w:szCs w:val="21"/>
        </w:rPr>
        <w:t>人</w:t>
      </w:r>
      <w:r>
        <w:rPr>
          <w:rFonts w:hint="eastAsia" w:ascii="宋体" w:hAnsi="宋体"/>
          <w:spacing w:val="-6"/>
          <w:sz w:val="21"/>
          <w:szCs w:val="21"/>
        </w:rPr>
        <w:t>”系指中国林业科学研究院亚热带林业研究所；</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2.“采购代理机构”系指组织本次招标的浙江求是招标代理有限公司；</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3</w:t>
      </w:r>
      <w:r>
        <w:rPr>
          <w:rFonts w:ascii="宋体" w:hAnsi="宋体"/>
          <w:spacing w:val="-6"/>
          <w:sz w:val="21"/>
          <w:szCs w:val="21"/>
        </w:rPr>
        <w:t>.</w:t>
      </w:r>
      <w:r>
        <w:rPr>
          <w:rFonts w:hint="eastAsia" w:ascii="宋体" w:hAnsi="宋体"/>
          <w:spacing w:val="-6"/>
          <w:sz w:val="21"/>
          <w:szCs w:val="21"/>
        </w:rPr>
        <w:t>“投标人”系指是指响应招标、参加投标竞争的法人、其他组织或者自然人；</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4.“书面形式”包括合同书、信件和数据电文(包括电报、电传、传真、电子数据交换和电子邮件)等可以有形地表现所载内容的形式。</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5</w:t>
      </w:r>
      <w:r>
        <w:rPr>
          <w:rFonts w:ascii="宋体" w:hAnsi="宋体"/>
          <w:spacing w:val="-6"/>
          <w:sz w:val="21"/>
          <w:szCs w:val="21"/>
        </w:rPr>
        <w:t>.</w:t>
      </w:r>
      <w:r>
        <w:rPr>
          <w:rFonts w:hint="eastAsia" w:ascii="宋体" w:hAnsi="宋体"/>
          <w:spacing w:val="-6"/>
          <w:sz w:val="21"/>
          <w:szCs w:val="21"/>
        </w:rPr>
        <w:t>“▲”系指实质性要求条款，投标人应当做出实质性响应。</w:t>
      </w:r>
    </w:p>
    <w:p>
      <w:pPr>
        <w:adjustRightInd w:val="0"/>
        <w:snapToGrid w:val="0"/>
        <w:spacing w:line="288" w:lineRule="auto"/>
        <w:jc w:val="left"/>
        <w:rPr>
          <w:rFonts w:ascii="宋体" w:hAnsi="宋体"/>
          <w:b/>
          <w:spacing w:val="-6"/>
          <w:sz w:val="21"/>
          <w:szCs w:val="21"/>
        </w:rPr>
      </w:pPr>
      <w:r>
        <w:rPr>
          <w:rFonts w:hint="eastAsia" w:ascii="宋体" w:hAnsi="宋体"/>
          <w:b/>
          <w:spacing w:val="-6"/>
          <w:sz w:val="21"/>
          <w:szCs w:val="21"/>
        </w:rPr>
        <w:t>（三）招标方式</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本次招标采用公开招标方式进行。</w:t>
      </w:r>
    </w:p>
    <w:p>
      <w:pPr>
        <w:adjustRightInd w:val="0"/>
        <w:snapToGrid w:val="0"/>
        <w:spacing w:line="288" w:lineRule="auto"/>
        <w:jc w:val="left"/>
        <w:rPr>
          <w:rFonts w:ascii="宋体" w:hAnsi="宋体"/>
          <w:b/>
          <w:spacing w:val="-6"/>
          <w:sz w:val="21"/>
          <w:szCs w:val="21"/>
        </w:rPr>
      </w:pPr>
      <w:r>
        <w:rPr>
          <w:rFonts w:hint="eastAsia" w:ascii="宋体" w:hAnsi="宋体"/>
          <w:b/>
          <w:spacing w:val="-6"/>
          <w:sz w:val="21"/>
          <w:szCs w:val="21"/>
        </w:rPr>
        <w:t>（四）投标费用</w:t>
      </w:r>
    </w:p>
    <w:p>
      <w:pPr>
        <w:adjustRightInd w:val="0"/>
        <w:snapToGrid w:val="0"/>
        <w:spacing w:line="288" w:lineRule="auto"/>
        <w:ind w:firstLine="424" w:firstLineChars="202"/>
        <w:rPr>
          <w:rFonts w:ascii="宋体" w:hAnsi="宋体" w:cs="宋体"/>
          <w:sz w:val="21"/>
          <w:szCs w:val="21"/>
        </w:rPr>
      </w:pPr>
      <w:r>
        <w:rPr>
          <w:rFonts w:hint="eastAsia" w:ascii="宋体" w:hAnsi="宋体" w:cs="宋体"/>
          <w:sz w:val="21"/>
          <w:szCs w:val="21"/>
        </w:rPr>
        <w:t>1.不论投标结果如何，投标人均应自行承担所有与投标有关的全部费用；</w:t>
      </w:r>
    </w:p>
    <w:p>
      <w:pPr>
        <w:adjustRightInd w:val="0"/>
        <w:snapToGrid w:val="0"/>
        <w:spacing w:line="288" w:lineRule="auto"/>
        <w:ind w:firstLine="424" w:firstLineChars="202"/>
        <w:rPr>
          <w:rFonts w:ascii="宋体" w:hAnsi="宋体" w:cs="宋体"/>
          <w:sz w:val="21"/>
          <w:szCs w:val="21"/>
        </w:rPr>
      </w:pPr>
      <w:r>
        <w:rPr>
          <w:rFonts w:hint="eastAsia" w:ascii="宋体" w:hAnsi="宋体" w:cs="宋体"/>
          <w:sz w:val="21"/>
          <w:szCs w:val="21"/>
        </w:rPr>
        <w:t>2.中标人在中标通知书发出之日起七个工作日内，向采购代理机构交纳代理服务费；</w:t>
      </w:r>
    </w:p>
    <w:p>
      <w:pPr>
        <w:adjustRightInd w:val="0"/>
        <w:snapToGrid w:val="0"/>
        <w:spacing w:line="288" w:lineRule="auto"/>
        <w:ind w:firstLine="424" w:firstLineChars="202"/>
        <w:rPr>
          <w:rFonts w:ascii="宋体" w:hAnsi="宋体" w:cs="宋体"/>
          <w:sz w:val="21"/>
          <w:szCs w:val="21"/>
        </w:rPr>
      </w:pPr>
      <w:r>
        <w:rPr>
          <w:rFonts w:hint="eastAsia" w:ascii="宋体" w:hAnsi="宋体" w:cs="宋体"/>
          <w:sz w:val="21"/>
          <w:szCs w:val="21"/>
        </w:rPr>
        <w:t>3.中标人逾期支付代理服务费，须承担代理服务费每日百分之三的违约金，逾期十日未支付的，采购代理机构有权向杭州仲裁委员会对中标人提起仲裁，仲裁费用（包括仲裁受理费和仲裁处理费）均由中标人承担。</w:t>
      </w:r>
    </w:p>
    <w:p>
      <w:pPr>
        <w:adjustRightInd w:val="0"/>
        <w:snapToGrid w:val="0"/>
        <w:spacing w:line="288" w:lineRule="auto"/>
        <w:ind w:firstLine="424" w:firstLineChars="202"/>
        <w:jc w:val="left"/>
        <w:rPr>
          <w:rFonts w:ascii="宋体" w:hAnsi="宋体"/>
          <w:spacing w:val="-6"/>
          <w:sz w:val="21"/>
          <w:szCs w:val="21"/>
        </w:rPr>
      </w:pPr>
      <w:r>
        <w:rPr>
          <w:rFonts w:hint="eastAsia" w:ascii="宋体" w:hAnsi="宋体"/>
          <w:sz w:val="21"/>
          <w:szCs w:val="21"/>
        </w:rPr>
        <w:t>4</w:t>
      </w:r>
      <w:r>
        <w:rPr>
          <w:rFonts w:ascii="宋体" w:hAnsi="宋体"/>
          <w:sz w:val="21"/>
          <w:szCs w:val="21"/>
        </w:rPr>
        <w:t>.</w:t>
      </w:r>
      <w:r>
        <w:rPr>
          <w:rFonts w:hint="eastAsia" w:ascii="宋体" w:hAnsi="宋体"/>
          <w:spacing w:val="-6"/>
          <w:sz w:val="21"/>
          <w:szCs w:val="21"/>
        </w:rPr>
        <w:t>收费标准（差额累进）：</w:t>
      </w:r>
    </w:p>
    <w:tbl>
      <w:tblPr>
        <w:tblStyle w:val="24"/>
        <w:tblW w:w="5452"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0" w:type="dxa"/>
          <w:bottom w:w="0" w:type="dxa"/>
          <w:right w:w="0" w:type="dxa"/>
        </w:tblCellMar>
      </w:tblPr>
      <w:tblGrid>
        <w:gridCol w:w="2551"/>
        <w:gridCol w:w="2901"/>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rPr>
          <w:trHeight w:val="20" w:hRule="atLeast"/>
          <w:jc w:val="center"/>
        </w:trPr>
        <w:tc>
          <w:tcPr>
            <w:tcW w:w="2551" w:type="dxa"/>
            <w:tcMar>
              <w:top w:w="0" w:type="dxa"/>
              <w:left w:w="108" w:type="dxa"/>
              <w:bottom w:w="0" w:type="dxa"/>
              <w:right w:w="108" w:type="dxa"/>
            </w:tcMar>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中标金额（万元）</w:t>
            </w:r>
          </w:p>
        </w:tc>
        <w:tc>
          <w:tcPr>
            <w:tcW w:w="2901" w:type="dxa"/>
            <w:tcMar>
              <w:top w:w="0" w:type="dxa"/>
              <w:left w:w="108" w:type="dxa"/>
              <w:bottom w:w="0" w:type="dxa"/>
              <w:right w:w="108" w:type="dxa"/>
            </w:tcMar>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收费标准（费率，%）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rPr>
          <w:trHeight w:val="20" w:hRule="atLeast"/>
          <w:jc w:val="center"/>
        </w:trPr>
        <w:tc>
          <w:tcPr>
            <w:tcW w:w="2551" w:type="dxa"/>
            <w:tcMar>
              <w:top w:w="0" w:type="dxa"/>
              <w:left w:w="108" w:type="dxa"/>
              <w:bottom w:w="0" w:type="dxa"/>
              <w:right w:w="108" w:type="dxa"/>
            </w:tcMar>
            <w:vAlign w:val="center"/>
          </w:tcPr>
          <w:p>
            <w:pPr>
              <w:adjustRightInd w:val="0"/>
              <w:snapToGrid w:val="0"/>
              <w:spacing w:line="288" w:lineRule="auto"/>
              <w:jc w:val="center"/>
              <w:rPr>
                <w:rFonts w:ascii="宋体" w:hAnsi="宋体" w:cs="宋体"/>
                <w:sz w:val="21"/>
                <w:szCs w:val="21"/>
              </w:rPr>
            </w:pPr>
            <w:r>
              <w:rPr>
                <w:rFonts w:hint="eastAsia" w:ascii="宋体" w:hAnsi="宋体"/>
                <w:sz w:val="21"/>
                <w:szCs w:val="21"/>
              </w:rPr>
              <w:t>100以下</w:t>
            </w:r>
          </w:p>
        </w:tc>
        <w:tc>
          <w:tcPr>
            <w:tcW w:w="2901" w:type="dxa"/>
            <w:tcMar>
              <w:top w:w="0" w:type="dxa"/>
              <w:left w:w="108" w:type="dxa"/>
              <w:bottom w:w="0" w:type="dxa"/>
              <w:right w:w="108" w:type="dxa"/>
            </w:tcMar>
            <w:vAlign w:val="center"/>
          </w:tcPr>
          <w:p>
            <w:pPr>
              <w:adjustRightInd w:val="0"/>
              <w:snapToGrid w:val="0"/>
              <w:spacing w:line="288" w:lineRule="auto"/>
              <w:jc w:val="center"/>
              <w:rPr>
                <w:rFonts w:ascii="宋体" w:hAnsi="宋体" w:cs="宋体"/>
                <w:sz w:val="21"/>
                <w:szCs w:val="21"/>
              </w:rPr>
            </w:pPr>
            <w:r>
              <w:rPr>
                <w:rFonts w:hint="eastAsia" w:ascii="宋体" w:hAnsi="宋体"/>
                <w:sz w:val="21"/>
                <w:szCs w:val="21"/>
              </w:rPr>
              <w:t>1.2</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rPr>
          <w:trHeight w:val="20" w:hRule="atLeast"/>
          <w:jc w:val="center"/>
        </w:trPr>
        <w:tc>
          <w:tcPr>
            <w:tcW w:w="2551" w:type="dxa"/>
            <w:tcMar>
              <w:top w:w="0" w:type="dxa"/>
              <w:left w:w="108" w:type="dxa"/>
              <w:bottom w:w="0" w:type="dxa"/>
              <w:right w:w="108" w:type="dxa"/>
            </w:tcMar>
            <w:vAlign w:val="center"/>
          </w:tcPr>
          <w:p>
            <w:pPr>
              <w:adjustRightInd w:val="0"/>
              <w:snapToGrid w:val="0"/>
              <w:spacing w:line="288" w:lineRule="auto"/>
              <w:jc w:val="center"/>
              <w:rPr>
                <w:rFonts w:ascii="宋体" w:hAnsi="宋体" w:cs="宋体"/>
                <w:sz w:val="21"/>
                <w:szCs w:val="21"/>
              </w:rPr>
            </w:pPr>
            <w:r>
              <w:rPr>
                <w:rFonts w:hint="eastAsia" w:ascii="宋体" w:hAnsi="宋体"/>
                <w:sz w:val="21"/>
                <w:szCs w:val="21"/>
              </w:rPr>
              <w:t>100-500</w:t>
            </w:r>
          </w:p>
        </w:tc>
        <w:tc>
          <w:tcPr>
            <w:tcW w:w="2901" w:type="dxa"/>
            <w:tcMar>
              <w:top w:w="0" w:type="dxa"/>
              <w:left w:w="108" w:type="dxa"/>
              <w:bottom w:w="0" w:type="dxa"/>
              <w:right w:w="108" w:type="dxa"/>
            </w:tcMar>
            <w:vAlign w:val="center"/>
          </w:tcPr>
          <w:p>
            <w:pPr>
              <w:adjustRightInd w:val="0"/>
              <w:snapToGrid w:val="0"/>
              <w:spacing w:line="288" w:lineRule="auto"/>
              <w:jc w:val="center"/>
              <w:rPr>
                <w:rFonts w:ascii="宋体" w:hAnsi="宋体" w:cs="宋体"/>
                <w:sz w:val="21"/>
                <w:szCs w:val="21"/>
              </w:rPr>
            </w:pPr>
            <w:r>
              <w:rPr>
                <w:rFonts w:hint="eastAsia" w:ascii="宋体" w:hAnsi="宋体"/>
                <w:sz w:val="21"/>
                <w:szCs w:val="21"/>
              </w:rPr>
              <w:t>0.88</w:t>
            </w:r>
          </w:p>
        </w:tc>
      </w:tr>
    </w:tbl>
    <w:p>
      <w:pPr>
        <w:adjustRightInd w:val="0"/>
        <w:snapToGrid w:val="0"/>
        <w:spacing w:line="288" w:lineRule="auto"/>
        <w:ind w:firstLine="424" w:firstLineChars="202"/>
        <w:jc w:val="left"/>
        <w:rPr>
          <w:rFonts w:ascii="宋体" w:hAnsi="宋体"/>
          <w:sz w:val="21"/>
          <w:szCs w:val="21"/>
        </w:rPr>
      </w:pPr>
      <w:r>
        <w:rPr>
          <w:rFonts w:hint="eastAsia" w:ascii="宋体" w:hAnsi="宋体"/>
          <w:sz w:val="21"/>
          <w:szCs w:val="21"/>
        </w:rPr>
        <w:t>不足叁仟元按叁仟元收取。</w:t>
      </w:r>
    </w:p>
    <w:p>
      <w:pPr>
        <w:adjustRightInd w:val="0"/>
        <w:snapToGrid w:val="0"/>
        <w:spacing w:line="288" w:lineRule="auto"/>
        <w:ind w:firstLine="399" w:firstLineChars="202"/>
        <w:jc w:val="left"/>
        <w:rPr>
          <w:rFonts w:ascii="宋体" w:hAnsi="宋体"/>
          <w:spacing w:val="-6"/>
          <w:sz w:val="21"/>
          <w:szCs w:val="21"/>
        </w:rPr>
      </w:pPr>
      <w:r>
        <w:rPr>
          <w:rFonts w:hint="eastAsia" w:ascii="宋体" w:hAnsi="宋体"/>
          <w:spacing w:val="-6"/>
          <w:sz w:val="21"/>
          <w:szCs w:val="21"/>
        </w:rPr>
        <w:t>5.投标保证金（元）：20000元。</w:t>
      </w:r>
    </w:p>
    <w:p>
      <w:pPr>
        <w:adjustRightInd w:val="0"/>
        <w:snapToGrid w:val="0"/>
        <w:spacing w:line="288" w:lineRule="auto"/>
        <w:jc w:val="left"/>
        <w:rPr>
          <w:rFonts w:ascii="宋体" w:hAnsi="宋体"/>
          <w:b/>
          <w:spacing w:val="-6"/>
          <w:sz w:val="21"/>
          <w:szCs w:val="21"/>
        </w:rPr>
      </w:pPr>
      <w:r>
        <w:rPr>
          <w:rFonts w:hint="eastAsia" w:ascii="宋体" w:hAnsi="宋体"/>
          <w:b/>
          <w:spacing w:val="-6"/>
          <w:sz w:val="21"/>
          <w:szCs w:val="21"/>
        </w:rPr>
        <w:t>（五）投标委托</w:t>
      </w:r>
    </w:p>
    <w:p>
      <w:pPr>
        <w:adjustRightInd w:val="0"/>
        <w:snapToGrid w:val="0"/>
        <w:spacing w:line="288" w:lineRule="auto"/>
        <w:ind w:firstLine="424" w:firstLineChars="202"/>
        <w:jc w:val="left"/>
        <w:rPr>
          <w:rFonts w:ascii="宋体" w:hAnsi="宋体"/>
          <w:sz w:val="21"/>
          <w:szCs w:val="21"/>
        </w:rPr>
      </w:pPr>
      <w:r>
        <w:rPr>
          <w:rFonts w:hint="eastAsia" w:ascii="宋体" w:hAnsi="宋体"/>
          <w:sz w:val="21"/>
          <w:szCs w:val="21"/>
        </w:rPr>
        <w:t>▲1.投标人代表是法定代表人（单位负责人、自然人本人）的，须提供本人身份证明。</w:t>
      </w:r>
    </w:p>
    <w:p>
      <w:pPr>
        <w:adjustRightInd w:val="0"/>
        <w:snapToGrid w:val="0"/>
        <w:spacing w:line="288" w:lineRule="auto"/>
        <w:ind w:firstLine="424" w:firstLineChars="202"/>
        <w:jc w:val="left"/>
        <w:rPr>
          <w:rFonts w:ascii="宋体" w:hAnsi="宋体"/>
          <w:sz w:val="21"/>
          <w:szCs w:val="21"/>
        </w:rPr>
      </w:pPr>
      <w:r>
        <w:rPr>
          <w:rFonts w:hint="eastAsia" w:ascii="宋体" w:hAnsi="宋体"/>
          <w:sz w:val="21"/>
          <w:szCs w:val="21"/>
        </w:rPr>
        <w:t>▲2.投标人代表不是法定代表人（单位负责人、自然人本人）的，须提供授权委托书（格式详见招标文件第六章）和授权代表社保缴纳证明（2023年7月（含）以后任意一月）；</w:t>
      </w:r>
    </w:p>
    <w:p>
      <w:pPr>
        <w:adjustRightInd w:val="0"/>
        <w:snapToGrid w:val="0"/>
        <w:spacing w:line="288" w:lineRule="auto"/>
        <w:ind w:firstLine="424" w:firstLineChars="202"/>
        <w:jc w:val="left"/>
        <w:rPr>
          <w:rFonts w:ascii="宋体" w:hAnsi="宋体"/>
          <w:sz w:val="21"/>
          <w:szCs w:val="21"/>
        </w:rPr>
      </w:pPr>
      <w:r>
        <w:rPr>
          <w:rFonts w:hint="eastAsia" w:ascii="宋体" w:hAnsi="宋体"/>
          <w:sz w:val="21"/>
          <w:szCs w:val="21"/>
        </w:rPr>
        <w:t>▲3.投标人委派不在本单位缴纳社保的人员作为授权代表的，应当在投标文件中，说明具体原因、授权代表缴纳社保的单位，并附列该授权代表缴纳社保清单。</w:t>
      </w:r>
    </w:p>
    <w:p>
      <w:pPr>
        <w:adjustRightInd w:val="0"/>
        <w:snapToGrid w:val="0"/>
        <w:spacing w:line="288" w:lineRule="auto"/>
        <w:rPr>
          <w:rFonts w:ascii="宋体" w:hAnsi="宋体" w:cs="宋体"/>
          <w:b/>
          <w:bCs/>
          <w:sz w:val="21"/>
          <w:szCs w:val="21"/>
        </w:rPr>
      </w:pPr>
      <w:r>
        <w:rPr>
          <w:rFonts w:hint="eastAsia" w:ascii="宋体" w:hAnsi="宋体" w:cs="宋体"/>
          <w:b/>
          <w:bCs/>
          <w:sz w:val="21"/>
          <w:szCs w:val="21"/>
        </w:rPr>
        <w:t>（六）联合体投标</w:t>
      </w:r>
    </w:p>
    <w:p>
      <w:pPr>
        <w:adjustRightInd w:val="0"/>
        <w:snapToGrid w:val="0"/>
        <w:spacing w:line="288" w:lineRule="auto"/>
        <w:ind w:firstLine="420" w:firstLineChars="200"/>
        <w:rPr>
          <w:rFonts w:ascii="宋体" w:hAnsi="宋体" w:cs="宋体"/>
          <w:sz w:val="21"/>
          <w:szCs w:val="21"/>
        </w:rPr>
      </w:pPr>
      <w:r>
        <w:rPr>
          <w:rFonts w:hint="eastAsia" w:ascii="宋体" w:hAnsi="宋体" w:cs="宋体"/>
          <w:sz w:val="21"/>
          <w:szCs w:val="21"/>
        </w:rPr>
        <w:t>本项目不接受联合体投标。</w:t>
      </w:r>
    </w:p>
    <w:p>
      <w:pPr>
        <w:adjustRightInd w:val="0"/>
        <w:snapToGrid w:val="0"/>
        <w:spacing w:line="288" w:lineRule="auto"/>
        <w:jc w:val="left"/>
        <w:rPr>
          <w:rFonts w:ascii="宋体" w:hAnsi="宋体"/>
          <w:b/>
          <w:spacing w:val="-6"/>
          <w:sz w:val="21"/>
          <w:szCs w:val="21"/>
        </w:rPr>
      </w:pPr>
      <w:r>
        <w:rPr>
          <w:rFonts w:hint="eastAsia" w:ascii="宋体" w:hAnsi="宋体"/>
          <w:b/>
          <w:spacing w:val="-6"/>
          <w:sz w:val="21"/>
          <w:szCs w:val="21"/>
        </w:rPr>
        <w:t>（七）转包与分包</w:t>
      </w:r>
    </w:p>
    <w:p>
      <w:pPr>
        <w:adjustRightInd w:val="0"/>
        <w:snapToGrid w:val="0"/>
        <w:spacing w:line="288" w:lineRule="auto"/>
        <w:ind w:firstLine="424" w:firstLineChars="202"/>
        <w:jc w:val="left"/>
        <w:rPr>
          <w:rFonts w:ascii="宋体" w:hAnsi="宋体"/>
          <w:sz w:val="21"/>
          <w:szCs w:val="21"/>
        </w:rPr>
      </w:pPr>
      <w:r>
        <w:rPr>
          <w:rFonts w:hint="eastAsia" w:ascii="宋体" w:hAnsi="宋体"/>
          <w:sz w:val="21"/>
          <w:szCs w:val="21"/>
        </w:rPr>
        <w:t>1</w:t>
      </w:r>
      <w:r>
        <w:rPr>
          <w:rFonts w:ascii="宋体" w:hAnsi="宋体"/>
          <w:sz w:val="21"/>
          <w:szCs w:val="21"/>
        </w:rPr>
        <w:t>.</w:t>
      </w:r>
      <w:r>
        <w:rPr>
          <w:rFonts w:hint="eastAsia" w:ascii="宋体" w:hAnsi="宋体"/>
          <w:sz w:val="21"/>
          <w:szCs w:val="21"/>
        </w:rPr>
        <w:t>本项目不允许转包；</w:t>
      </w:r>
    </w:p>
    <w:p>
      <w:pPr>
        <w:adjustRightInd w:val="0"/>
        <w:snapToGrid w:val="0"/>
        <w:spacing w:line="288" w:lineRule="auto"/>
        <w:ind w:firstLine="420" w:firstLineChars="200"/>
        <w:rPr>
          <w:rFonts w:ascii="宋体" w:hAnsi="宋体"/>
          <w:sz w:val="21"/>
          <w:szCs w:val="21"/>
        </w:rPr>
      </w:pPr>
      <w:r>
        <w:rPr>
          <w:rFonts w:ascii="宋体" w:hAnsi="宋体"/>
          <w:sz w:val="21"/>
          <w:szCs w:val="21"/>
        </w:rPr>
        <w:t>2.</w:t>
      </w:r>
      <w:r>
        <w:rPr>
          <w:rFonts w:hint="eastAsia" w:ascii="宋体" w:hAnsi="宋体"/>
          <w:sz w:val="21"/>
          <w:szCs w:val="21"/>
        </w:rPr>
        <w:t>本项目</w:t>
      </w:r>
      <w:r>
        <w:rPr>
          <w:rFonts w:hint="eastAsia" w:ascii="宋体" w:hAnsi="宋体"/>
          <w:b/>
          <w:bCs/>
          <w:sz w:val="21"/>
          <w:szCs w:val="21"/>
          <w:u w:val="single"/>
        </w:rPr>
        <w:t>不允许</w:t>
      </w:r>
      <w:r>
        <w:rPr>
          <w:rFonts w:hint="eastAsia" w:ascii="宋体" w:hAnsi="宋体"/>
          <w:sz w:val="21"/>
          <w:szCs w:val="21"/>
        </w:rPr>
        <w:t>分包，不适宜分包的理由是：</w:t>
      </w:r>
      <w:r>
        <w:rPr>
          <w:rFonts w:hint="eastAsia" w:ascii="宋体" w:hAnsi="宋体"/>
          <w:sz w:val="21"/>
          <w:szCs w:val="21"/>
          <w:u w:val="single"/>
        </w:rPr>
        <w:t>本项目</w:t>
      </w:r>
      <w:r>
        <w:rPr>
          <w:rFonts w:ascii="宋体" w:hAnsi="宋体"/>
          <w:sz w:val="21"/>
          <w:szCs w:val="21"/>
          <w:u w:val="single"/>
        </w:rPr>
        <w:t>服务范围较小且集中，服务内容彼此密切关连</w:t>
      </w:r>
      <w:r>
        <w:rPr>
          <w:rFonts w:hint="eastAsia" w:ascii="宋体" w:hAnsi="宋体"/>
          <w:sz w:val="21"/>
          <w:szCs w:val="21"/>
          <w:u w:val="single"/>
        </w:rPr>
        <w:t>，不适宜拆分</w:t>
      </w:r>
      <w:r>
        <w:rPr>
          <w:rFonts w:ascii="宋体" w:hAnsi="宋体"/>
          <w:sz w:val="21"/>
          <w:szCs w:val="21"/>
          <w:u w:val="single"/>
        </w:rPr>
        <w:t xml:space="preserve"> 。</w:t>
      </w:r>
    </w:p>
    <w:p>
      <w:pPr>
        <w:adjustRightInd w:val="0"/>
        <w:snapToGrid w:val="0"/>
        <w:spacing w:line="288" w:lineRule="auto"/>
        <w:jc w:val="left"/>
        <w:rPr>
          <w:rFonts w:ascii="宋体" w:hAnsi="宋体"/>
          <w:b/>
          <w:spacing w:val="-6"/>
          <w:sz w:val="21"/>
          <w:szCs w:val="21"/>
        </w:rPr>
      </w:pPr>
      <w:r>
        <w:rPr>
          <w:rFonts w:hint="eastAsia" w:ascii="宋体" w:hAnsi="宋体"/>
          <w:b/>
          <w:spacing w:val="-6"/>
          <w:sz w:val="21"/>
          <w:szCs w:val="21"/>
        </w:rPr>
        <w:t>（八）质疑和投诉</w:t>
      </w:r>
    </w:p>
    <w:p>
      <w:pPr>
        <w:adjustRightInd w:val="0"/>
        <w:snapToGrid w:val="0"/>
        <w:spacing w:line="288" w:lineRule="auto"/>
        <w:ind w:firstLine="396" w:firstLineChars="200"/>
        <w:jc w:val="left"/>
        <w:rPr>
          <w:rFonts w:ascii="宋体" w:hAnsi="宋体"/>
          <w:spacing w:val="-6"/>
          <w:sz w:val="21"/>
          <w:szCs w:val="21"/>
        </w:rPr>
      </w:pPr>
      <w:bookmarkStart w:id="37" w:name="_Hlk92273406"/>
      <w:r>
        <w:rPr>
          <w:rFonts w:hint="eastAsia" w:ascii="宋体" w:hAnsi="宋体"/>
          <w:spacing w:val="-6"/>
          <w:sz w:val="21"/>
          <w:szCs w:val="21"/>
        </w:rPr>
        <w:t>1</w:t>
      </w:r>
      <w:r>
        <w:rPr>
          <w:rFonts w:ascii="宋体" w:hAnsi="宋体"/>
          <w:spacing w:val="-6"/>
          <w:sz w:val="21"/>
          <w:szCs w:val="21"/>
        </w:rPr>
        <w:t>.</w:t>
      </w:r>
      <w:r>
        <w:rPr>
          <w:rFonts w:hint="eastAsia" w:ascii="宋体" w:hAnsi="宋体"/>
          <w:spacing w:val="-6"/>
          <w:sz w:val="21"/>
          <w:szCs w:val="21"/>
        </w:rPr>
        <w:t>供应商认为采购文件、采购过程、中标或者成交结果使自己的权益受到损害的，可以在知道或者应知其权益受到损害之日起</w:t>
      </w:r>
      <w:r>
        <w:rPr>
          <w:rFonts w:ascii="宋体" w:hAnsi="宋体"/>
          <w:spacing w:val="-6"/>
          <w:sz w:val="21"/>
          <w:szCs w:val="21"/>
        </w:rPr>
        <w:t>7个工作日内，以书面形式向采购人、采购代理机构提出质疑。</w:t>
      </w:r>
      <w:r>
        <w:rPr>
          <w:rFonts w:hint="eastAsia" w:ascii="宋体" w:hAnsi="宋体"/>
          <w:spacing w:val="-6"/>
          <w:sz w:val="21"/>
          <w:szCs w:val="21"/>
        </w:rPr>
        <w:t>质疑供应商对采购人、采购代理机构的答复不满意，或者采购人、采购代理机构未在规定时间内作出答复的，可以在答复期满后</w:t>
      </w:r>
      <w:r>
        <w:rPr>
          <w:rFonts w:ascii="宋体" w:hAnsi="宋体"/>
          <w:spacing w:val="-6"/>
          <w:sz w:val="21"/>
          <w:szCs w:val="21"/>
        </w:rPr>
        <w:t>15个工作日内向</w:t>
      </w:r>
      <w:r>
        <w:rPr>
          <w:rFonts w:hint="eastAsia" w:ascii="宋体" w:hAnsi="宋体"/>
          <w:spacing w:val="-6"/>
          <w:sz w:val="21"/>
          <w:szCs w:val="21"/>
        </w:rPr>
        <w:t>本级财政部门</w:t>
      </w:r>
      <w:r>
        <w:rPr>
          <w:rFonts w:ascii="宋体" w:hAnsi="宋体"/>
          <w:spacing w:val="-6"/>
          <w:sz w:val="21"/>
          <w:szCs w:val="21"/>
        </w:rPr>
        <w:t>提起投诉。</w:t>
      </w:r>
    </w:p>
    <w:bookmarkEnd w:id="37"/>
    <w:p>
      <w:pPr>
        <w:adjustRightInd w:val="0"/>
        <w:snapToGrid w:val="0"/>
        <w:spacing w:line="288" w:lineRule="auto"/>
        <w:ind w:firstLine="398" w:firstLineChars="200"/>
        <w:jc w:val="left"/>
        <w:rPr>
          <w:rFonts w:ascii="宋体" w:hAnsi="宋体"/>
          <w:b/>
          <w:bCs/>
          <w:spacing w:val="-6"/>
          <w:sz w:val="21"/>
          <w:szCs w:val="21"/>
        </w:rPr>
      </w:pPr>
      <w:r>
        <w:rPr>
          <w:rFonts w:hint="eastAsia" w:ascii="宋体" w:hAnsi="宋体"/>
          <w:b/>
          <w:bCs/>
          <w:spacing w:val="-6"/>
          <w:sz w:val="21"/>
          <w:szCs w:val="21"/>
        </w:rPr>
        <w:t>2.投标人提出质疑应当提交质疑函和必要的证明材料，质疑函范本、投诉书范本请到浙江政府采购网下载专区下载。质疑函应当包括下列内容：</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（1）供应商的姓名或者名称、地址、邮编、联系人及联系电话；</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（2）质疑项目的名称、编号；</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（3）具体、明确的质疑事项和与质疑事项相关的请求；</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（4）事实依据；</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（5）必要的法律依据；</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（6）提出质疑的日期。</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投标人为自然人的，应当由本人签名；投标人为法人或者其他组织的，应当由法定代表人、主要负责人，或者其授权代表签名或者盖章，并加盖公章。</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3.提出质疑的供应商应当是参与本项目招标活动的投标人。</w:t>
      </w:r>
      <w:r>
        <w:rPr>
          <w:rFonts w:hint="eastAsia" w:ascii="宋体" w:hAnsi="宋体"/>
          <w:b/>
          <w:spacing w:val="-6"/>
          <w:sz w:val="21"/>
          <w:szCs w:val="21"/>
        </w:rPr>
        <w:t>投标人在法定质疑期内应一次性提出针对同一采购程序环节的质疑。</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4.根据《政府采购质疑和投诉办法》第三十七条的规定，投诉人在全国范围</w:t>
      </w:r>
      <w:r>
        <w:rPr>
          <w:rFonts w:ascii="宋体" w:hAnsi="宋体"/>
          <w:spacing w:val="-6"/>
          <w:sz w:val="21"/>
          <w:szCs w:val="21"/>
        </w:rPr>
        <w:t>12</w:t>
      </w:r>
      <w:r>
        <w:rPr>
          <w:rFonts w:hint="eastAsia" w:ascii="宋体" w:hAnsi="宋体"/>
          <w:spacing w:val="-6"/>
          <w:sz w:val="21"/>
          <w:szCs w:val="21"/>
        </w:rPr>
        <w:t>个月内三次以上投诉查无实据的，由财政部门列入不良行为记录名单。</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投诉人有下列行为之一的，属于虚假、恶意投诉，由财政部门列入不良行为记录名单，禁止其</w:t>
      </w:r>
      <w:r>
        <w:rPr>
          <w:rFonts w:ascii="宋体" w:hAnsi="宋体"/>
          <w:spacing w:val="-6"/>
          <w:sz w:val="21"/>
          <w:szCs w:val="21"/>
        </w:rPr>
        <w:t>1</w:t>
      </w:r>
      <w:r>
        <w:rPr>
          <w:rFonts w:hint="eastAsia" w:ascii="宋体" w:hAnsi="宋体"/>
          <w:spacing w:val="-6"/>
          <w:sz w:val="21"/>
          <w:szCs w:val="21"/>
        </w:rPr>
        <w:t>至</w:t>
      </w:r>
      <w:r>
        <w:rPr>
          <w:rFonts w:ascii="宋体" w:hAnsi="宋体"/>
          <w:spacing w:val="-6"/>
          <w:sz w:val="21"/>
          <w:szCs w:val="21"/>
        </w:rPr>
        <w:t>3</w:t>
      </w:r>
      <w:r>
        <w:rPr>
          <w:rFonts w:hint="eastAsia" w:ascii="宋体" w:hAnsi="宋体"/>
          <w:spacing w:val="-6"/>
          <w:sz w:val="21"/>
          <w:szCs w:val="21"/>
        </w:rPr>
        <w:t>年内参加政府采购活动：</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（1）捏造事实；</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（2）提供虚假材料；</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（3）以非法手段取得证明材料。证据来源的合法性存在明显疑问，投诉人无法证明其取得方式合法的，视为以非法手段取得证明材料。</w:t>
      </w:r>
    </w:p>
    <w:p>
      <w:pPr>
        <w:adjustRightInd w:val="0"/>
        <w:snapToGrid w:val="0"/>
        <w:spacing w:line="288" w:lineRule="auto"/>
        <w:outlineLvl w:val="2"/>
        <w:rPr>
          <w:rFonts w:ascii="宋体" w:hAnsi="宋体" w:cs="宋体"/>
          <w:b/>
          <w:spacing w:val="-6"/>
          <w:kern w:val="0"/>
          <w:sz w:val="21"/>
          <w:szCs w:val="21"/>
        </w:rPr>
      </w:pPr>
      <w:bookmarkStart w:id="38" w:name="_Hlk92273111"/>
      <w:bookmarkStart w:id="39" w:name="_Hlk94018492"/>
      <w:r>
        <w:rPr>
          <w:rFonts w:ascii="宋体" w:hAnsi="宋体" w:cs="宋体"/>
          <w:b/>
          <w:spacing w:val="-6"/>
          <w:kern w:val="0"/>
          <w:sz w:val="21"/>
          <w:szCs w:val="21"/>
        </w:rPr>
        <w:t>（</w:t>
      </w:r>
      <w:r>
        <w:rPr>
          <w:rFonts w:hint="eastAsia" w:ascii="宋体" w:hAnsi="宋体" w:cs="宋体"/>
          <w:b/>
          <w:spacing w:val="-6"/>
          <w:kern w:val="0"/>
          <w:sz w:val="21"/>
          <w:szCs w:val="21"/>
        </w:rPr>
        <w:t>九</w:t>
      </w:r>
      <w:r>
        <w:rPr>
          <w:rFonts w:ascii="宋体" w:hAnsi="宋体" w:cs="宋体"/>
          <w:b/>
          <w:spacing w:val="-6"/>
          <w:kern w:val="0"/>
          <w:sz w:val="21"/>
          <w:szCs w:val="21"/>
        </w:rPr>
        <w:t>）</w:t>
      </w:r>
      <w:r>
        <w:rPr>
          <w:rFonts w:hint="eastAsia" w:ascii="宋体" w:hAnsi="宋体" w:cs="宋体"/>
          <w:b/>
          <w:spacing w:val="-6"/>
          <w:kern w:val="0"/>
          <w:sz w:val="21"/>
          <w:szCs w:val="21"/>
        </w:rPr>
        <w:t>采购项目需要落实的政府采购政策</w:t>
      </w:r>
    </w:p>
    <w:p>
      <w:pPr>
        <w:adjustRightInd w:val="0"/>
        <w:snapToGrid w:val="0"/>
        <w:spacing w:line="288" w:lineRule="auto"/>
        <w:ind w:firstLine="398" w:firstLineChars="200"/>
        <w:jc w:val="left"/>
        <w:rPr>
          <w:rFonts w:ascii="宋体" w:hAnsi="宋体"/>
          <w:spacing w:val="-6"/>
          <w:sz w:val="21"/>
          <w:szCs w:val="21"/>
        </w:rPr>
      </w:pPr>
      <w:r>
        <w:rPr>
          <w:rFonts w:hint="eastAsia" w:ascii="宋体" w:hAnsi="宋体"/>
          <w:b/>
          <w:bCs/>
          <w:spacing w:val="-6"/>
          <w:sz w:val="21"/>
          <w:szCs w:val="21"/>
        </w:rPr>
        <w:t>1</w:t>
      </w:r>
      <w:r>
        <w:rPr>
          <w:rFonts w:ascii="宋体" w:hAnsi="宋体"/>
          <w:b/>
          <w:bCs/>
          <w:spacing w:val="-6"/>
          <w:sz w:val="21"/>
          <w:szCs w:val="21"/>
        </w:rPr>
        <w:t>.</w:t>
      </w:r>
      <w:r>
        <w:rPr>
          <w:rFonts w:ascii="宋体" w:hAnsi="宋体"/>
          <w:spacing w:val="-6"/>
          <w:sz w:val="21"/>
          <w:szCs w:val="21"/>
        </w:rPr>
        <w:t>本项目原则上采购本国生产的货物、工程和服务，不允许采购进口产品。除非采购人采购进口产品，已经在采购活动开始前向财政部门提出申请并获得财政部门审核同意，且在采购需求中明确规定可以采购进口产品（但如果因信息不对称等原因，仍有满足需求的国内产品要求参与采购竞争的，采购人、采购机构不会对其加以限制，仍将按照公平竞争原则实施采购）。</w:t>
      </w:r>
    </w:p>
    <w:p>
      <w:pPr>
        <w:adjustRightInd w:val="0"/>
        <w:snapToGrid w:val="0"/>
        <w:spacing w:line="288" w:lineRule="auto"/>
        <w:ind w:firstLine="398" w:firstLineChars="200"/>
        <w:jc w:val="left"/>
        <w:rPr>
          <w:rFonts w:ascii="宋体" w:hAnsi="宋体"/>
          <w:b/>
          <w:bCs/>
          <w:spacing w:val="-6"/>
          <w:sz w:val="21"/>
          <w:szCs w:val="21"/>
        </w:rPr>
      </w:pPr>
      <w:r>
        <w:rPr>
          <w:rFonts w:ascii="宋体" w:hAnsi="宋体"/>
          <w:b/>
          <w:bCs/>
          <w:spacing w:val="-6"/>
          <w:sz w:val="21"/>
          <w:szCs w:val="21"/>
        </w:rPr>
        <w:t>2.支持绿色发展</w:t>
      </w:r>
    </w:p>
    <w:p>
      <w:pPr>
        <w:adjustRightInd w:val="0"/>
        <w:snapToGrid w:val="0"/>
        <w:spacing w:line="288" w:lineRule="auto"/>
        <w:ind w:firstLine="396" w:firstLineChars="200"/>
        <w:jc w:val="left"/>
        <w:rPr>
          <w:rFonts w:ascii="宋体" w:hAnsi="宋体"/>
          <w:spacing w:val="-6"/>
          <w:sz w:val="21"/>
          <w:szCs w:val="21"/>
        </w:rPr>
      </w:pPr>
      <w:r>
        <w:rPr>
          <w:rFonts w:ascii="宋体" w:hAnsi="宋体"/>
          <w:spacing w:val="-6"/>
          <w:sz w:val="21"/>
          <w:szCs w:val="21"/>
        </w:rPr>
        <w:t>采购人拟采购的产品属于品目清单范围的，采购人及其委托的采购代理机构将依据国家确定的认证机构出具的、有效的节能产品、环境标志产品认证证书，对获得证书的产品实施政府优先采购或强制采购。投标人须按招标文件要求提供相关产品认证证书。</w:t>
      </w:r>
    </w:p>
    <w:p>
      <w:pPr>
        <w:adjustRightInd w:val="0"/>
        <w:snapToGrid w:val="0"/>
        <w:spacing w:line="288" w:lineRule="auto"/>
        <w:ind w:firstLine="396" w:firstLineChars="200"/>
        <w:jc w:val="left"/>
        <w:rPr>
          <w:rFonts w:ascii="宋体" w:hAnsi="宋体"/>
          <w:spacing w:val="-6"/>
          <w:sz w:val="21"/>
          <w:szCs w:val="21"/>
          <w:u w:val="single"/>
        </w:rPr>
      </w:pPr>
      <w:r>
        <w:rPr>
          <w:rFonts w:ascii="宋体" w:hAnsi="宋体"/>
          <w:spacing w:val="-6"/>
          <w:sz w:val="21"/>
          <w:szCs w:val="21"/>
          <w:u w:val="single"/>
        </w:rPr>
        <w:t>▲采购人拟采购的产品属于政府强制采购的节能产品品目清单范围的，投标人未按招标文件要求提供国家确定的认证机构出具的、有效的节能产品认证证书的，投标无效。</w:t>
      </w:r>
    </w:p>
    <w:p>
      <w:pPr>
        <w:adjustRightInd w:val="0"/>
        <w:snapToGrid w:val="0"/>
        <w:spacing w:line="288" w:lineRule="auto"/>
        <w:ind w:firstLine="396" w:firstLineChars="200"/>
        <w:jc w:val="left"/>
        <w:rPr>
          <w:rFonts w:ascii="宋体" w:hAnsi="宋体"/>
          <w:spacing w:val="-6"/>
          <w:sz w:val="21"/>
          <w:szCs w:val="21"/>
        </w:rPr>
      </w:pPr>
      <w:r>
        <w:rPr>
          <w:rFonts w:ascii="宋体" w:hAnsi="宋体"/>
          <w:spacing w:val="-6"/>
          <w:sz w:val="21"/>
          <w:szCs w:val="21"/>
        </w:rPr>
        <w:t>修缮、装修类项目采购建材的，采购人应将绿色建筑和绿色建材性能、指标等作为实质性条件纳入招标文件和合同。</w:t>
      </w:r>
    </w:p>
    <w:p>
      <w:pPr>
        <w:adjustRightInd w:val="0"/>
        <w:snapToGrid w:val="0"/>
        <w:spacing w:line="288" w:lineRule="auto"/>
        <w:ind w:firstLine="396" w:firstLineChars="200"/>
        <w:jc w:val="left"/>
        <w:rPr>
          <w:rFonts w:ascii="宋体" w:hAnsi="宋体"/>
          <w:spacing w:val="-6"/>
          <w:sz w:val="21"/>
          <w:szCs w:val="21"/>
        </w:rPr>
      </w:pPr>
      <w:r>
        <w:rPr>
          <w:rFonts w:ascii="宋体" w:hAnsi="宋体"/>
          <w:spacing w:val="-6"/>
          <w:sz w:val="21"/>
          <w:szCs w:val="21"/>
        </w:rPr>
        <w:t>为助力打好污染防治攻坚战，推广使用绿色包装，政府采购货物、工程和服务项目中涉及商品包装和快递包装的，供应商提供产品及相关快递服务的具体包装要求要参考《商品包装政府采购需求标准（试行）》、《快递包装政府采购需求标准（试行）》。</w:t>
      </w:r>
    </w:p>
    <w:p>
      <w:pPr>
        <w:adjustRightInd w:val="0"/>
        <w:snapToGrid w:val="0"/>
        <w:spacing w:line="288" w:lineRule="auto"/>
        <w:ind w:firstLine="398" w:firstLineChars="200"/>
        <w:jc w:val="left"/>
        <w:rPr>
          <w:rFonts w:ascii="宋体" w:hAnsi="宋体"/>
          <w:b/>
          <w:bCs/>
          <w:spacing w:val="-6"/>
          <w:sz w:val="21"/>
          <w:szCs w:val="21"/>
        </w:rPr>
      </w:pPr>
      <w:r>
        <w:rPr>
          <w:rFonts w:ascii="宋体" w:hAnsi="宋体"/>
          <w:b/>
          <w:bCs/>
          <w:spacing w:val="-6"/>
          <w:sz w:val="21"/>
          <w:szCs w:val="21"/>
        </w:rPr>
        <w:t>3.支持科技创新</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优先推荐专精特新中小企业、创新产品参加政府采购活动。对省级以上主管部门认定的首台套产品，自纳入《省推广应用指导目录》起三年内参加政府采购活动，视同已具备相应销售业绩，业绩分为满分。</w:t>
      </w:r>
      <w:bookmarkStart w:id="40" w:name="_Hlk106875293"/>
    </w:p>
    <w:bookmarkEnd w:id="40"/>
    <w:p>
      <w:pPr>
        <w:adjustRightInd w:val="0"/>
        <w:snapToGrid w:val="0"/>
        <w:spacing w:line="288" w:lineRule="auto"/>
        <w:ind w:firstLine="398" w:firstLineChars="200"/>
        <w:jc w:val="left"/>
        <w:rPr>
          <w:rFonts w:ascii="宋体" w:hAnsi="宋体"/>
          <w:b/>
          <w:bCs/>
          <w:spacing w:val="-6"/>
          <w:sz w:val="21"/>
          <w:szCs w:val="21"/>
        </w:rPr>
      </w:pPr>
      <w:r>
        <w:rPr>
          <w:rFonts w:ascii="宋体" w:hAnsi="宋体"/>
          <w:b/>
          <w:bCs/>
          <w:spacing w:val="-6"/>
          <w:sz w:val="21"/>
          <w:szCs w:val="21"/>
        </w:rPr>
        <w:t>4.支持中小企业发展</w:t>
      </w:r>
    </w:p>
    <w:p>
      <w:pPr>
        <w:adjustRightInd w:val="0"/>
        <w:snapToGrid w:val="0"/>
        <w:spacing w:line="288" w:lineRule="auto"/>
        <w:ind w:firstLine="396" w:firstLineChars="200"/>
        <w:jc w:val="left"/>
        <w:rPr>
          <w:rFonts w:ascii="宋体" w:hAnsi="宋体"/>
          <w:spacing w:val="-6"/>
          <w:sz w:val="21"/>
          <w:szCs w:val="21"/>
        </w:rPr>
      </w:pPr>
      <w:r>
        <w:rPr>
          <w:rFonts w:ascii="宋体" w:hAnsi="宋体"/>
          <w:spacing w:val="-6"/>
          <w:sz w:val="21"/>
          <w:szCs w:val="21"/>
        </w:rPr>
        <w:t>中小企业，是指在中华人民共和国境内依法设立，依据国务院批准的中小企业划分标准确定的中型企业、小型企业和微型企业，但与大企业的负责人为同一人，或者与大企业存在直接控股、管理关系的除外。</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符合中小企业划分标准的个体工商户，在政府采购活动中视同中小企业。</w:t>
      </w:r>
    </w:p>
    <w:p>
      <w:pPr>
        <w:adjustRightInd w:val="0"/>
        <w:snapToGrid w:val="0"/>
        <w:spacing w:line="288" w:lineRule="auto"/>
        <w:ind w:firstLine="396" w:firstLineChars="200"/>
        <w:jc w:val="left"/>
        <w:rPr>
          <w:rFonts w:ascii="宋体" w:hAnsi="宋体"/>
          <w:spacing w:val="-6"/>
          <w:sz w:val="21"/>
          <w:szCs w:val="21"/>
        </w:rPr>
      </w:pPr>
      <w:r>
        <w:rPr>
          <w:rFonts w:ascii="宋体" w:hAnsi="宋体"/>
          <w:spacing w:val="-6"/>
          <w:sz w:val="21"/>
          <w:szCs w:val="21"/>
        </w:rPr>
        <w:t>在政府采购活动中，投标人提供的货物、工程或者服务符合下列情形的，享受中小企业扶持政策：</w:t>
      </w:r>
    </w:p>
    <w:p>
      <w:pPr>
        <w:adjustRightInd w:val="0"/>
        <w:snapToGrid w:val="0"/>
        <w:spacing w:line="288" w:lineRule="auto"/>
        <w:ind w:firstLine="396" w:firstLineChars="200"/>
        <w:jc w:val="left"/>
        <w:rPr>
          <w:rFonts w:ascii="宋体" w:hAnsi="宋体"/>
          <w:spacing w:val="-6"/>
          <w:sz w:val="21"/>
          <w:szCs w:val="21"/>
        </w:rPr>
      </w:pPr>
      <w:r>
        <w:rPr>
          <w:rFonts w:ascii="宋体" w:hAnsi="宋体"/>
          <w:spacing w:val="-6"/>
          <w:sz w:val="21"/>
          <w:szCs w:val="21"/>
        </w:rPr>
        <w:t>在货物采购项目中，货物由中小企业制造，即货物由中小企业生产且使用该中小企业商号或者注册商标；在工程采购项目中，工程由中小企业承建，即工程施工单位为中小企业；在服务采购项目中，服务由中小企业承接，即提供服务的人员为中小企业依照《中华人民共和国劳动合同法》订立劳动合同的从业人员。</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在货物采购项目中，投标人提供的货物既有中小企业制造货物，也有大型企业制造货物的，不享受中小企业扶持政策。</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以联合体形式参加政府采购活动，联合体各方均为中小企业的，联合体视同中小企业。其中，联合体各方均为小微企业的，联合体视同小微企业。</w:t>
      </w:r>
    </w:p>
    <w:p>
      <w:pPr>
        <w:adjustRightInd w:val="0"/>
        <w:snapToGrid w:val="0"/>
        <w:spacing w:line="288" w:lineRule="auto"/>
        <w:ind w:firstLine="396" w:firstLineChars="200"/>
        <w:jc w:val="left"/>
        <w:rPr>
          <w:rFonts w:ascii="宋体" w:hAnsi="宋体"/>
          <w:spacing w:val="-6"/>
          <w:sz w:val="21"/>
          <w:szCs w:val="21"/>
        </w:rPr>
      </w:pPr>
      <w:r>
        <w:rPr>
          <w:rFonts w:ascii="宋体" w:hAnsi="宋体"/>
          <w:spacing w:val="-6"/>
          <w:sz w:val="21"/>
          <w:szCs w:val="21"/>
        </w:rPr>
        <w:t>对于未预留份额专门面向中小企业的政府采购货物或服务项目，以及预留份额政府采购货物或服务项目中的非预留部分标项，对小型和微型企业的投标报价给予</w:t>
      </w:r>
      <w:r>
        <w:rPr>
          <w:rFonts w:hint="eastAsia" w:ascii="宋体" w:hAnsi="宋体"/>
          <w:spacing w:val="-6"/>
          <w:sz w:val="21"/>
          <w:szCs w:val="21"/>
        </w:rPr>
        <w:t>1</w:t>
      </w:r>
      <w:r>
        <w:rPr>
          <w:rFonts w:ascii="宋体" w:hAnsi="宋体"/>
          <w:spacing w:val="-6"/>
          <w:sz w:val="21"/>
          <w:szCs w:val="21"/>
        </w:rPr>
        <w:t>0%的扣除，用扣除后的价格参与评审。接受大中型企业与小微企业组成联合体或者允许大中型企业向一家或者多家小微企业分包的政府采购货物或服务项目，对于联合协议或者分包意向协议约定小微企业的合同份额占到合同总金额30%以上的，对联合体或者大中型企业的报价给予</w:t>
      </w:r>
      <w:r>
        <w:rPr>
          <w:rFonts w:hint="eastAsia" w:ascii="宋体" w:hAnsi="宋体"/>
          <w:spacing w:val="-6"/>
          <w:sz w:val="21"/>
          <w:szCs w:val="21"/>
        </w:rPr>
        <w:t>4</w:t>
      </w:r>
      <w:r>
        <w:rPr>
          <w:rFonts w:ascii="宋体" w:hAnsi="宋体"/>
          <w:spacing w:val="-6"/>
          <w:sz w:val="21"/>
          <w:szCs w:val="21"/>
        </w:rPr>
        <w:t>%的扣除，用扣除后的价格参加评审。组成联合体或者接受分包的小微企业与联合体内其他企业、分包企业之间存在直接控</w:t>
      </w:r>
      <w:r>
        <w:rPr>
          <w:rFonts w:hint="eastAsia" w:ascii="宋体" w:hAnsi="宋体"/>
          <w:spacing w:val="-6"/>
          <w:sz w:val="21"/>
          <w:szCs w:val="21"/>
        </w:rPr>
        <w:t>股、管理关系的，不享受价格扣除优惠政策。</w:t>
      </w:r>
    </w:p>
    <w:p>
      <w:pPr>
        <w:adjustRightInd w:val="0"/>
        <w:snapToGrid w:val="0"/>
        <w:spacing w:line="288" w:lineRule="auto"/>
        <w:ind w:firstLine="396" w:firstLineChars="200"/>
        <w:jc w:val="left"/>
        <w:rPr>
          <w:rFonts w:ascii="宋体" w:hAnsi="宋体"/>
          <w:spacing w:val="-6"/>
          <w:sz w:val="21"/>
          <w:szCs w:val="21"/>
          <w:u w:val="single"/>
        </w:rPr>
      </w:pPr>
      <w:r>
        <w:rPr>
          <w:rFonts w:ascii="宋体" w:hAnsi="宋体"/>
          <w:spacing w:val="-6"/>
          <w:sz w:val="21"/>
          <w:szCs w:val="21"/>
          <w:u w:val="single"/>
        </w:rPr>
        <w:t>符合《关于促进残疾人就业政府采购政策的通知》（财库〔2017〕141号）规定的条件并提供《残疾人福利性单位声明函》的残疾人福利性单位视同小型、微型企业；</w:t>
      </w:r>
    </w:p>
    <w:p>
      <w:pPr>
        <w:adjustRightInd w:val="0"/>
        <w:snapToGrid w:val="0"/>
        <w:spacing w:line="288" w:lineRule="auto"/>
        <w:ind w:firstLine="396" w:firstLineChars="200"/>
        <w:jc w:val="left"/>
        <w:rPr>
          <w:rFonts w:ascii="宋体" w:hAnsi="宋体"/>
          <w:spacing w:val="-6"/>
          <w:sz w:val="21"/>
          <w:szCs w:val="21"/>
          <w:u w:val="single"/>
        </w:rPr>
      </w:pPr>
      <w:r>
        <w:rPr>
          <w:rFonts w:ascii="宋体" w:hAnsi="宋体"/>
          <w:spacing w:val="-6"/>
          <w:sz w:val="21"/>
          <w:szCs w:val="21"/>
          <w:u w:val="single"/>
        </w:rPr>
        <w:t>符合《关于政府采购支持监狱企业发展有关问题的通知》（财库[2014]68号）规定的监狱企业并提供由省级以上监狱管理局、戒毒管理局（含新疆生产建设兵团）出具的属于监狱企业证明文件的，视同为小型、微型企业。</w:t>
      </w:r>
    </w:p>
    <w:p>
      <w:pPr>
        <w:adjustRightInd w:val="0"/>
        <w:snapToGrid w:val="0"/>
        <w:spacing w:line="288" w:lineRule="auto"/>
        <w:ind w:firstLine="396" w:firstLineChars="200"/>
        <w:jc w:val="left"/>
        <w:rPr>
          <w:rFonts w:ascii="宋体" w:hAnsi="宋体"/>
          <w:spacing w:val="-6"/>
          <w:sz w:val="21"/>
          <w:szCs w:val="21"/>
        </w:rPr>
      </w:pPr>
      <w:r>
        <w:rPr>
          <w:rFonts w:ascii="宋体" w:hAnsi="宋体"/>
          <w:spacing w:val="-6"/>
          <w:sz w:val="21"/>
          <w:szCs w:val="21"/>
        </w:rPr>
        <w:t>可享受中小企业扶持政策的投标人应按照招标文件格式要求提供《中小企业声明函》，投标人提供的《中小企业声明函》与实际情况不符的，不享受中小企业扶持政策。声明内容不实的，属于提供虚假材料谋取中标、成交的，依法承担法律责任。</w:t>
      </w:r>
    </w:p>
    <w:p>
      <w:pPr>
        <w:adjustRightInd w:val="0"/>
        <w:snapToGrid w:val="0"/>
        <w:spacing w:line="288" w:lineRule="auto"/>
        <w:ind w:firstLine="396" w:firstLineChars="200"/>
        <w:jc w:val="left"/>
        <w:rPr>
          <w:rFonts w:ascii="宋体" w:hAnsi="宋体"/>
          <w:spacing w:val="-6"/>
          <w:sz w:val="21"/>
          <w:szCs w:val="21"/>
        </w:rPr>
      </w:pPr>
      <w:r>
        <w:rPr>
          <w:rFonts w:ascii="宋体" w:hAnsi="宋体"/>
          <w:spacing w:val="-6"/>
          <w:sz w:val="21"/>
          <w:szCs w:val="21"/>
        </w:rPr>
        <w:t>中小企业享受扶持政策获得政府采购合同的，小微企业不得将合同分包给大中型企业，中型企业不得将合同分包给大型企业。</w:t>
      </w:r>
      <w:bookmarkEnd w:id="38"/>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除财库</w:t>
      </w:r>
      <w:r>
        <w:rPr>
          <w:rFonts w:ascii="宋体" w:hAnsi="宋体"/>
          <w:spacing w:val="-6"/>
          <w:sz w:val="21"/>
          <w:szCs w:val="21"/>
        </w:rPr>
        <w:t>《政府采购促进中小企业发展管理办法》</w:t>
      </w:r>
      <w:r>
        <w:rPr>
          <w:rFonts w:hint="eastAsia" w:ascii="宋体" w:hAnsi="宋体"/>
          <w:spacing w:val="-6"/>
          <w:sz w:val="21"/>
          <w:szCs w:val="21"/>
        </w:rPr>
        <w:t>（财库〔</w:t>
      </w:r>
      <w:r>
        <w:rPr>
          <w:rFonts w:ascii="宋体" w:hAnsi="宋体"/>
          <w:spacing w:val="-6"/>
          <w:sz w:val="21"/>
          <w:szCs w:val="21"/>
        </w:rPr>
        <w:t>2020〕46号</w:t>
      </w:r>
      <w:r>
        <w:rPr>
          <w:rFonts w:hint="eastAsia" w:ascii="宋体" w:hAnsi="宋体"/>
          <w:spacing w:val="-6"/>
          <w:sz w:val="21"/>
          <w:szCs w:val="21"/>
        </w:rPr>
        <w:t>）、</w:t>
      </w:r>
      <w:r>
        <w:rPr>
          <w:rFonts w:ascii="宋体" w:hAnsi="宋体"/>
          <w:spacing w:val="-6"/>
          <w:sz w:val="21"/>
          <w:szCs w:val="21"/>
        </w:rPr>
        <w:t>《关于促进残疾人就业政府采购政策的通知》（财库〔2017〕141号）</w:t>
      </w:r>
      <w:r>
        <w:rPr>
          <w:rFonts w:hint="eastAsia" w:ascii="宋体" w:hAnsi="宋体"/>
          <w:spacing w:val="-6"/>
          <w:sz w:val="21"/>
          <w:szCs w:val="21"/>
        </w:rPr>
        <w:t>、</w:t>
      </w:r>
      <w:r>
        <w:rPr>
          <w:rFonts w:ascii="宋体" w:hAnsi="宋体"/>
          <w:spacing w:val="-6"/>
          <w:sz w:val="21"/>
          <w:szCs w:val="21"/>
        </w:rPr>
        <w:t>《关于政府采购支持监狱企业发展有关问题的通知》（财库[2014]68号）规定企业类型以外的供应商不享受中小企业扶持政策</w:t>
      </w:r>
      <w:r>
        <w:rPr>
          <w:rFonts w:hint="eastAsia" w:ascii="宋体" w:hAnsi="宋体"/>
          <w:spacing w:val="-6"/>
          <w:sz w:val="21"/>
          <w:szCs w:val="21"/>
        </w:rPr>
        <w:t>。</w:t>
      </w:r>
    </w:p>
    <w:bookmarkEnd w:id="39"/>
    <w:p>
      <w:pPr>
        <w:pStyle w:val="11"/>
        <w:adjustRightInd w:val="0"/>
        <w:snapToGrid w:val="0"/>
        <w:spacing w:line="288" w:lineRule="auto"/>
        <w:ind w:firstLine="0"/>
        <w:jc w:val="center"/>
        <w:outlineLvl w:val="1"/>
        <w:rPr>
          <w:rFonts w:hAnsi="宋体"/>
          <w:b/>
          <w:spacing w:val="-6"/>
          <w:sz w:val="21"/>
          <w:szCs w:val="21"/>
        </w:rPr>
      </w:pPr>
      <w:r>
        <w:rPr>
          <w:rFonts w:hAnsi="宋体"/>
          <w:b/>
          <w:spacing w:val="-6"/>
          <w:sz w:val="21"/>
          <w:szCs w:val="21"/>
        </w:rPr>
        <w:br w:type="page"/>
      </w:r>
      <w:r>
        <w:rPr>
          <w:rFonts w:hAnsi="宋体"/>
          <w:b/>
          <w:spacing w:val="-6"/>
          <w:sz w:val="21"/>
          <w:szCs w:val="21"/>
        </w:rPr>
        <w:t>二</w:t>
      </w:r>
      <w:r>
        <w:rPr>
          <w:rFonts w:hint="eastAsia" w:hAnsi="宋体"/>
          <w:b/>
          <w:spacing w:val="-6"/>
          <w:sz w:val="21"/>
          <w:szCs w:val="21"/>
        </w:rPr>
        <w:t>、招标文件</w:t>
      </w:r>
    </w:p>
    <w:p>
      <w:pPr>
        <w:adjustRightInd w:val="0"/>
        <w:snapToGrid w:val="0"/>
        <w:spacing w:line="288" w:lineRule="auto"/>
        <w:jc w:val="left"/>
        <w:rPr>
          <w:rFonts w:ascii="宋体" w:hAnsi="宋体"/>
          <w:b/>
          <w:spacing w:val="-6"/>
          <w:sz w:val="21"/>
          <w:szCs w:val="21"/>
        </w:rPr>
      </w:pPr>
      <w:r>
        <w:rPr>
          <w:rFonts w:hint="eastAsia" w:ascii="宋体" w:hAnsi="宋体"/>
          <w:b/>
          <w:spacing w:val="-6"/>
          <w:sz w:val="21"/>
          <w:szCs w:val="21"/>
        </w:rPr>
        <w:t>（一）招标文件的构成。本招标文件由以下部分组成：</w:t>
      </w:r>
    </w:p>
    <w:p>
      <w:pPr>
        <w:pStyle w:val="11"/>
        <w:adjustRightInd w:val="0"/>
        <w:snapToGrid w:val="0"/>
        <w:spacing w:line="288" w:lineRule="auto"/>
        <w:ind w:firstLine="396" w:firstLineChars="200"/>
        <w:jc w:val="left"/>
        <w:rPr>
          <w:rFonts w:hAnsi="宋体"/>
          <w:spacing w:val="-6"/>
          <w:sz w:val="21"/>
          <w:szCs w:val="21"/>
        </w:rPr>
      </w:pPr>
      <w:r>
        <w:rPr>
          <w:rFonts w:hint="eastAsia" w:hAnsi="宋体"/>
          <w:spacing w:val="-6"/>
          <w:sz w:val="21"/>
          <w:szCs w:val="21"/>
        </w:rPr>
        <w:t>1.投标邀请</w:t>
      </w:r>
    </w:p>
    <w:p>
      <w:pPr>
        <w:pStyle w:val="11"/>
        <w:adjustRightInd w:val="0"/>
        <w:snapToGrid w:val="0"/>
        <w:spacing w:line="288" w:lineRule="auto"/>
        <w:ind w:firstLine="396" w:firstLineChars="200"/>
        <w:jc w:val="left"/>
        <w:rPr>
          <w:rFonts w:hAnsi="宋体"/>
          <w:spacing w:val="-6"/>
          <w:sz w:val="21"/>
          <w:szCs w:val="21"/>
        </w:rPr>
      </w:pPr>
      <w:r>
        <w:rPr>
          <w:rFonts w:hint="eastAsia" w:hAnsi="宋体"/>
          <w:spacing w:val="-6"/>
          <w:sz w:val="21"/>
          <w:szCs w:val="21"/>
        </w:rPr>
        <w:t>2.采购需求</w:t>
      </w:r>
    </w:p>
    <w:p>
      <w:pPr>
        <w:pStyle w:val="11"/>
        <w:adjustRightInd w:val="0"/>
        <w:snapToGrid w:val="0"/>
        <w:spacing w:line="288" w:lineRule="auto"/>
        <w:ind w:firstLine="396" w:firstLineChars="200"/>
        <w:jc w:val="left"/>
        <w:rPr>
          <w:rFonts w:hAnsi="宋体"/>
          <w:spacing w:val="-6"/>
          <w:sz w:val="21"/>
          <w:szCs w:val="21"/>
        </w:rPr>
      </w:pPr>
      <w:r>
        <w:rPr>
          <w:rFonts w:hint="eastAsia" w:hAnsi="宋体"/>
          <w:spacing w:val="-6"/>
          <w:sz w:val="21"/>
          <w:szCs w:val="21"/>
        </w:rPr>
        <w:t>3.投标人须知</w:t>
      </w:r>
    </w:p>
    <w:p>
      <w:pPr>
        <w:pStyle w:val="11"/>
        <w:adjustRightInd w:val="0"/>
        <w:snapToGrid w:val="0"/>
        <w:spacing w:line="288" w:lineRule="auto"/>
        <w:ind w:firstLine="396" w:firstLineChars="200"/>
        <w:jc w:val="left"/>
        <w:rPr>
          <w:rFonts w:hAnsi="宋体"/>
          <w:spacing w:val="-6"/>
          <w:sz w:val="21"/>
          <w:szCs w:val="21"/>
        </w:rPr>
      </w:pPr>
      <w:r>
        <w:rPr>
          <w:rFonts w:hint="eastAsia" w:hAnsi="宋体"/>
          <w:spacing w:val="-6"/>
          <w:sz w:val="21"/>
          <w:szCs w:val="21"/>
        </w:rPr>
        <w:t>4.评标方法和评标标准</w:t>
      </w:r>
    </w:p>
    <w:p>
      <w:pPr>
        <w:pStyle w:val="11"/>
        <w:adjustRightInd w:val="0"/>
        <w:snapToGrid w:val="0"/>
        <w:spacing w:line="288" w:lineRule="auto"/>
        <w:ind w:firstLine="396" w:firstLineChars="200"/>
        <w:jc w:val="left"/>
        <w:rPr>
          <w:rFonts w:hAnsi="宋体"/>
          <w:spacing w:val="-6"/>
          <w:sz w:val="21"/>
          <w:szCs w:val="21"/>
        </w:rPr>
      </w:pPr>
      <w:r>
        <w:rPr>
          <w:rFonts w:hint="eastAsia" w:hAnsi="宋体"/>
          <w:spacing w:val="-6"/>
          <w:sz w:val="21"/>
          <w:szCs w:val="21"/>
        </w:rPr>
        <w:t>5.拟签订的合同文本</w:t>
      </w:r>
    </w:p>
    <w:p>
      <w:pPr>
        <w:pStyle w:val="11"/>
        <w:adjustRightInd w:val="0"/>
        <w:snapToGrid w:val="0"/>
        <w:spacing w:line="288" w:lineRule="auto"/>
        <w:ind w:firstLine="396" w:firstLineChars="200"/>
        <w:jc w:val="left"/>
        <w:rPr>
          <w:rFonts w:hAnsi="宋体"/>
          <w:spacing w:val="-6"/>
          <w:sz w:val="21"/>
          <w:szCs w:val="21"/>
        </w:rPr>
      </w:pPr>
      <w:r>
        <w:rPr>
          <w:rFonts w:hint="eastAsia" w:hAnsi="宋体"/>
          <w:spacing w:val="-6"/>
          <w:sz w:val="21"/>
          <w:szCs w:val="21"/>
        </w:rPr>
        <w:t>6.投标文件格式</w:t>
      </w:r>
    </w:p>
    <w:p>
      <w:pPr>
        <w:pStyle w:val="11"/>
        <w:adjustRightInd w:val="0"/>
        <w:snapToGrid w:val="0"/>
        <w:spacing w:line="288" w:lineRule="auto"/>
        <w:ind w:firstLine="396" w:firstLineChars="200"/>
        <w:jc w:val="left"/>
        <w:rPr>
          <w:rFonts w:hAnsi="宋体"/>
          <w:spacing w:val="-6"/>
          <w:sz w:val="21"/>
          <w:szCs w:val="21"/>
        </w:rPr>
      </w:pPr>
      <w:r>
        <w:rPr>
          <w:rFonts w:hint="eastAsia" w:hAnsi="宋体"/>
          <w:spacing w:val="-6"/>
          <w:sz w:val="21"/>
          <w:szCs w:val="21"/>
        </w:rPr>
        <w:t>7.本项目招标文件的澄清、答复、修改、补充的内容</w:t>
      </w:r>
    </w:p>
    <w:p>
      <w:pPr>
        <w:adjustRightInd w:val="0"/>
        <w:snapToGrid w:val="0"/>
        <w:spacing w:line="288" w:lineRule="auto"/>
        <w:jc w:val="left"/>
        <w:rPr>
          <w:rFonts w:ascii="宋体" w:hAnsi="宋体"/>
          <w:spacing w:val="-6"/>
          <w:sz w:val="21"/>
          <w:szCs w:val="21"/>
        </w:rPr>
      </w:pPr>
      <w:r>
        <w:rPr>
          <w:rFonts w:hint="eastAsia" w:ascii="宋体" w:hAnsi="宋体"/>
          <w:b/>
          <w:spacing w:val="-6"/>
          <w:sz w:val="21"/>
          <w:szCs w:val="21"/>
        </w:rPr>
        <w:t>（二）投标人的风险</w:t>
      </w:r>
    </w:p>
    <w:p>
      <w:pPr>
        <w:pStyle w:val="11"/>
        <w:adjustRightInd w:val="0"/>
        <w:snapToGrid w:val="0"/>
        <w:spacing w:line="288" w:lineRule="auto"/>
        <w:ind w:firstLine="396" w:firstLineChars="200"/>
        <w:jc w:val="left"/>
        <w:rPr>
          <w:rFonts w:hAnsi="宋体"/>
          <w:spacing w:val="-6"/>
          <w:sz w:val="21"/>
          <w:szCs w:val="21"/>
        </w:rPr>
      </w:pPr>
      <w:r>
        <w:rPr>
          <w:rFonts w:hint="eastAsia" w:hAnsi="宋体"/>
          <w:spacing w:val="-6"/>
          <w:sz w:val="21"/>
          <w:szCs w:val="21"/>
        </w:rPr>
        <w:t>投标人没有按照招标文件要求提供全部资料，或者投标人没有对招标文件在各方面作出实质性响应是投标人的风险，并可能导致其投标被拒绝。</w:t>
      </w:r>
    </w:p>
    <w:p>
      <w:pPr>
        <w:adjustRightInd w:val="0"/>
        <w:snapToGrid w:val="0"/>
        <w:spacing w:line="288" w:lineRule="auto"/>
        <w:jc w:val="left"/>
        <w:rPr>
          <w:rFonts w:ascii="宋体" w:hAnsi="宋体"/>
          <w:b/>
          <w:spacing w:val="-6"/>
          <w:sz w:val="21"/>
          <w:szCs w:val="21"/>
        </w:rPr>
      </w:pPr>
      <w:r>
        <w:rPr>
          <w:rFonts w:hint="eastAsia" w:ascii="宋体" w:hAnsi="宋体"/>
          <w:b/>
          <w:spacing w:val="-6"/>
          <w:sz w:val="21"/>
          <w:szCs w:val="21"/>
        </w:rPr>
        <w:t>（三）招标文件的澄清与修改</w:t>
      </w:r>
    </w:p>
    <w:p>
      <w:pPr>
        <w:pStyle w:val="11"/>
        <w:adjustRightInd w:val="0"/>
        <w:snapToGrid w:val="0"/>
        <w:spacing w:line="288" w:lineRule="auto"/>
        <w:ind w:firstLine="396" w:firstLineChars="200"/>
        <w:jc w:val="left"/>
        <w:rPr>
          <w:rFonts w:hAnsi="宋体"/>
          <w:spacing w:val="-6"/>
          <w:sz w:val="21"/>
          <w:szCs w:val="21"/>
        </w:rPr>
      </w:pPr>
      <w:r>
        <w:rPr>
          <w:rFonts w:hint="eastAsia" w:hAnsi="宋体"/>
          <w:spacing w:val="-6"/>
          <w:sz w:val="21"/>
          <w:szCs w:val="21"/>
        </w:rPr>
        <w:t>1</w:t>
      </w:r>
      <w:r>
        <w:rPr>
          <w:rFonts w:hAnsi="宋体"/>
          <w:spacing w:val="-6"/>
          <w:sz w:val="21"/>
          <w:szCs w:val="21"/>
        </w:rPr>
        <w:t>.采购人或者采购代理机构可以对已发出的招标文件进行必要的澄清或者修改</w:t>
      </w:r>
      <w:r>
        <w:rPr>
          <w:rFonts w:hint="eastAsia" w:hAnsi="宋体"/>
          <w:spacing w:val="-6"/>
          <w:sz w:val="21"/>
          <w:szCs w:val="21"/>
        </w:rPr>
        <w:t>，</w:t>
      </w:r>
      <w:r>
        <w:rPr>
          <w:rFonts w:hAnsi="宋体"/>
          <w:spacing w:val="-6"/>
          <w:sz w:val="21"/>
          <w:szCs w:val="21"/>
        </w:rPr>
        <w:t>澄清或者修改</w:t>
      </w:r>
      <w:r>
        <w:rPr>
          <w:rFonts w:hint="eastAsia" w:hAnsi="宋体"/>
          <w:spacing w:val="-6"/>
          <w:sz w:val="21"/>
          <w:szCs w:val="21"/>
        </w:rPr>
        <w:t>会</w:t>
      </w:r>
      <w:r>
        <w:rPr>
          <w:rFonts w:hAnsi="宋体"/>
          <w:spacing w:val="-6"/>
          <w:sz w:val="21"/>
          <w:szCs w:val="21"/>
        </w:rPr>
        <w:t>在原公告发布媒体上发布澄清公告</w:t>
      </w:r>
      <w:r>
        <w:rPr>
          <w:rFonts w:hint="eastAsia" w:hAnsi="宋体"/>
          <w:spacing w:val="-6"/>
          <w:sz w:val="21"/>
          <w:szCs w:val="21"/>
        </w:rPr>
        <w:t>，</w:t>
      </w:r>
      <w:r>
        <w:rPr>
          <w:rFonts w:hAnsi="宋体"/>
          <w:spacing w:val="-6"/>
          <w:sz w:val="21"/>
          <w:szCs w:val="21"/>
        </w:rPr>
        <w:t>澄清或者修改的内容为招标文件的组成部分。</w:t>
      </w:r>
    </w:p>
    <w:p>
      <w:pPr>
        <w:pStyle w:val="11"/>
        <w:adjustRightInd w:val="0"/>
        <w:snapToGrid w:val="0"/>
        <w:spacing w:line="288" w:lineRule="auto"/>
        <w:ind w:firstLine="396" w:firstLineChars="200"/>
        <w:jc w:val="left"/>
        <w:rPr>
          <w:rFonts w:hAnsi="宋体"/>
          <w:spacing w:val="-6"/>
          <w:sz w:val="21"/>
          <w:szCs w:val="21"/>
        </w:rPr>
      </w:pPr>
      <w:r>
        <w:rPr>
          <w:rFonts w:hint="eastAsia" w:hAnsi="宋体"/>
          <w:spacing w:val="-6"/>
          <w:sz w:val="21"/>
          <w:szCs w:val="21"/>
        </w:rPr>
        <w:t>澄清或者修改的内容可能影响投标文件编制的，采购人或者采购代理机构会在投标截止时间至少15日前，以书面形式通知所有获取招标文件的潜在投标人；不足15日的，采购人或者采购代理机构会顺延提交投标文件的截止时间。</w:t>
      </w:r>
    </w:p>
    <w:p>
      <w:pPr>
        <w:pStyle w:val="11"/>
        <w:adjustRightInd w:val="0"/>
        <w:snapToGrid w:val="0"/>
        <w:spacing w:line="288" w:lineRule="auto"/>
        <w:ind w:firstLine="396" w:firstLineChars="200"/>
        <w:jc w:val="left"/>
        <w:rPr>
          <w:rFonts w:hAnsi="宋体"/>
          <w:spacing w:val="-6"/>
          <w:sz w:val="21"/>
          <w:szCs w:val="21"/>
        </w:rPr>
      </w:pPr>
      <w:r>
        <w:rPr>
          <w:rFonts w:hint="eastAsia" w:hAnsi="宋体"/>
          <w:spacing w:val="-6"/>
          <w:sz w:val="21"/>
          <w:szCs w:val="21"/>
        </w:rPr>
        <w:t>2.招标文件的修改将以书面形式通知所有购买招标文件的投标人，并对其具有约束力。投标人在收到上述通知后，应立即向采购</w:t>
      </w:r>
      <w:r>
        <w:rPr>
          <w:rFonts w:hAnsi="宋体"/>
          <w:spacing w:val="-6"/>
          <w:sz w:val="21"/>
          <w:szCs w:val="21"/>
        </w:rPr>
        <w:t>代理机构</w:t>
      </w:r>
      <w:r>
        <w:rPr>
          <w:rFonts w:hint="eastAsia" w:hAnsi="宋体"/>
          <w:spacing w:val="-6"/>
          <w:sz w:val="21"/>
          <w:szCs w:val="21"/>
        </w:rPr>
        <w:t>回函确认。若无书面回函确认，视同投标人已收到招标文件修改的通知，并受其约束。</w:t>
      </w:r>
    </w:p>
    <w:p>
      <w:pPr>
        <w:pStyle w:val="11"/>
        <w:adjustRightInd w:val="0"/>
        <w:snapToGrid w:val="0"/>
        <w:spacing w:line="288" w:lineRule="auto"/>
        <w:ind w:firstLine="0"/>
        <w:jc w:val="center"/>
        <w:outlineLvl w:val="1"/>
        <w:rPr>
          <w:rFonts w:hAnsi="宋体"/>
          <w:spacing w:val="-6"/>
          <w:sz w:val="21"/>
          <w:szCs w:val="21"/>
        </w:rPr>
      </w:pPr>
      <w:r>
        <w:rPr>
          <w:rFonts w:hAnsi="宋体"/>
          <w:spacing w:val="-6"/>
          <w:sz w:val="21"/>
          <w:szCs w:val="21"/>
        </w:rPr>
        <w:br w:type="page"/>
      </w:r>
      <w:r>
        <w:rPr>
          <w:rFonts w:hAnsi="宋体"/>
          <w:b/>
          <w:spacing w:val="-6"/>
          <w:sz w:val="21"/>
          <w:szCs w:val="21"/>
        </w:rPr>
        <w:t>三</w:t>
      </w:r>
      <w:r>
        <w:rPr>
          <w:rFonts w:hint="eastAsia" w:hAnsi="宋体"/>
          <w:b/>
          <w:spacing w:val="-6"/>
          <w:sz w:val="21"/>
          <w:szCs w:val="21"/>
        </w:rPr>
        <w:t>、</w:t>
      </w:r>
      <w:r>
        <w:rPr>
          <w:rFonts w:hAnsi="宋体"/>
          <w:b/>
          <w:spacing w:val="-6"/>
          <w:sz w:val="21"/>
          <w:szCs w:val="21"/>
        </w:rPr>
        <w:t>投标文件的编制</w:t>
      </w:r>
    </w:p>
    <w:p>
      <w:pPr>
        <w:adjustRightInd w:val="0"/>
        <w:snapToGrid w:val="0"/>
        <w:spacing w:line="288" w:lineRule="auto"/>
        <w:jc w:val="left"/>
        <w:rPr>
          <w:rFonts w:ascii="宋体" w:hAnsi="宋体"/>
          <w:b/>
          <w:spacing w:val="-6"/>
          <w:sz w:val="21"/>
          <w:szCs w:val="21"/>
        </w:rPr>
      </w:pPr>
      <w:r>
        <w:rPr>
          <w:rFonts w:hint="eastAsia" w:ascii="宋体" w:hAnsi="宋体"/>
          <w:b/>
          <w:spacing w:val="-6"/>
          <w:sz w:val="21"/>
          <w:szCs w:val="21"/>
        </w:rPr>
        <w:t>（一）投标文件的组成</w:t>
      </w:r>
    </w:p>
    <w:p>
      <w:pPr>
        <w:pStyle w:val="11"/>
        <w:adjustRightInd w:val="0"/>
        <w:snapToGrid w:val="0"/>
        <w:spacing w:line="288" w:lineRule="auto"/>
        <w:ind w:firstLine="396" w:firstLineChars="200"/>
        <w:jc w:val="left"/>
        <w:rPr>
          <w:rFonts w:hAnsi="宋体"/>
          <w:spacing w:val="-6"/>
          <w:sz w:val="21"/>
          <w:szCs w:val="21"/>
        </w:rPr>
      </w:pPr>
      <w:r>
        <w:rPr>
          <w:rFonts w:hint="eastAsia" w:hAnsi="宋体"/>
          <w:spacing w:val="-6"/>
          <w:sz w:val="21"/>
          <w:szCs w:val="21"/>
        </w:rPr>
        <w:t>投标文件由</w:t>
      </w:r>
      <w:r>
        <w:rPr>
          <w:rFonts w:hint="eastAsia" w:hAnsi="宋体"/>
          <w:b/>
          <w:spacing w:val="-6"/>
          <w:sz w:val="21"/>
          <w:szCs w:val="21"/>
        </w:rPr>
        <w:t>报价文件、资格文件、商务和技术文件</w:t>
      </w:r>
      <w:r>
        <w:rPr>
          <w:rFonts w:hint="eastAsia" w:hAnsi="宋体"/>
          <w:spacing w:val="-6"/>
          <w:sz w:val="21"/>
          <w:szCs w:val="21"/>
        </w:rPr>
        <w:t>组成（格式详见招标文件第六章）。</w:t>
      </w:r>
    </w:p>
    <w:p>
      <w:pPr>
        <w:pStyle w:val="11"/>
        <w:adjustRightInd w:val="0"/>
        <w:snapToGrid w:val="0"/>
        <w:spacing w:line="288" w:lineRule="auto"/>
        <w:ind w:firstLine="398" w:firstLineChars="200"/>
        <w:jc w:val="left"/>
        <w:rPr>
          <w:rFonts w:hAnsi="宋体"/>
          <w:b/>
          <w:spacing w:val="-6"/>
          <w:sz w:val="21"/>
          <w:szCs w:val="21"/>
        </w:rPr>
      </w:pPr>
      <w:r>
        <w:rPr>
          <w:rFonts w:hint="eastAsia" w:hAnsi="宋体"/>
          <w:b/>
          <w:spacing w:val="-6"/>
          <w:sz w:val="21"/>
          <w:szCs w:val="21"/>
        </w:rPr>
        <w:t>多标项项目建议按标项分别制作。</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投标文件组成：详见“第六章</w:t>
      </w:r>
      <w:r>
        <w:rPr>
          <w:rFonts w:ascii="宋体" w:hAnsi="宋体"/>
          <w:spacing w:val="-6"/>
          <w:sz w:val="21"/>
          <w:szCs w:val="21"/>
        </w:rPr>
        <w:t xml:space="preserve">  投标文件格式</w:t>
      </w:r>
      <w:r>
        <w:rPr>
          <w:rFonts w:hint="eastAsia" w:ascii="宋体" w:hAnsi="宋体"/>
          <w:spacing w:val="-6"/>
          <w:sz w:val="21"/>
          <w:szCs w:val="21"/>
        </w:rPr>
        <w:t>”目录</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如供应商提供的产品技术支持材料与采购需求偏离表响应不一致，以产品技术支持材料为准。</w:t>
      </w:r>
    </w:p>
    <w:p>
      <w:pPr>
        <w:adjustRightInd w:val="0"/>
        <w:snapToGrid w:val="0"/>
        <w:spacing w:line="288" w:lineRule="auto"/>
        <w:jc w:val="left"/>
        <w:rPr>
          <w:rFonts w:ascii="宋体" w:hAnsi="宋体"/>
          <w:b/>
          <w:spacing w:val="-6"/>
          <w:sz w:val="21"/>
          <w:szCs w:val="21"/>
        </w:rPr>
      </w:pPr>
      <w:r>
        <w:rPr>
          <w:rFonts w:hint="eastAsia" w:ascii="宋体" w:hAnsi="宋体"/>
          <w:b/>
          <w:spacing w:val="-6"/>
          <w:sz w:val="21"/>
          <w:szCs w:val="21"/>
        </w:rPr>
        <w:t>（二）投标文件的编制、份数、包装、递交、修改和撤回</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1.投标人应按本招标文件规定的格式和顺序编制、装订投标文件，投标文件内容不完整、编排混乱导致投标文件被误读、漏读或者查找不到相关内容的，是投标人的责任。</w:t>
      </w:r>
    </w:p>
    <w:p>
      <w:pPr>
        <w:adjustRightInd w:val="0"/>
        <w:snapToGrid w:val="0"/>
        <w:spacing w:line="288" w:lineRule="auto"/>
        <w:ind w:firstLine="398" w:firstLineChars="200"/>
        <w:jc w:val="left"/>
        <w:rPr>
          <w:rFonts w:ascii="宋体" w:hAnsi="宋体"/>
          <w:spacing w:val="-6"/>
          <w:sz w:val="21"/>
          <w:szCs w:val="21"/>
        </w:rPr>
      </w:pPr>
      <w:r>
        <w:rPr>
          <w:rFonts w:ascii="宋体" w:hAnsi="宋体"/>
          <w:b/>
          <w:bCs/>
          <w:spacing w:val="-6"/>
          <w:sz w:val="21"/>
          <w:szCs w:val="21"/>
        </w:rPr>
        <w:t>2</w:t>
      </w:r>
      <w:r>
        <w:rPr>
          <w:rFonts w:hint="eastAsia" w:ascii="宋体" w:hAnsi="宋体"/>
          <w:b/>
          <w:bCs/>
          <w:spacing w:val="-6"/>
          <w:sz w:val="21"/>
          <w:szCs w:val="21"/>
        </w:rPr>
        <w:t>.</w:t>
      </w:r>
      <w:r>
        <w:rPr>
          <w:rFonts w:hint="eastAsia" w:ascii="宋体" w:hAnsi="宋体"/>
          <w:b/>
          <w:spacing w:val="-6"/>
          <w:sz w:val="21"/>
          <w:szCs w:val="21"/>
        </w:rPr>
        <w:t>装订与份数：报价文件单独装订成册，资格文件、商务和技术文件合并装订成册，其中正本一份、副本五份，投标文件的封面应注明“正本“、“副本”字样。正本与副本不一致的，以正本为准。</w:t>
      </w:r>
    </w:p>
    <w:p>
      <w:pPr>
        <w:adjustRightInd w:val="0"/>
        <w:snapToGrid w:val="0"/>
        <w:spacing w:line="288" w:lineRule="auto"/>
        <w:ind w:firstLine="396" w:firstLineChars="200"/>
        <w:jc w:val="left"/>
        <w:rPr>
          <w:rFonts w:ascii="宋体" w:hAnsi="宋体"/>
          <w:b/>
          <w:snapToGrid w:val="0"/>
          <w:kern w:val="0"/>
          <w:sz w:val="21"/>
          <w:szCs w:val="21"/>
        </w:rPr>
      </w:pPr>
      <w:r>
        <w:rPr>
          <w:rFonts w:hint="eastAsia" w:ascii="宋体" w:hAnsi="宋体"/>
          <w:spacing w:val="-6"/>
          <w:sz w:val="21"/>
          <w:szCs w:val="21"/>
        </w:rPr>
        <w:t>▲</w:t>
      </w:r>
      <w:r>
        <w:rPr>
          <w:rFonts w:hint="eastAsia" w:ascii="宋体" w:hAnsi="宋体"/>
          <w:b/>
          <w:spacing w:val="-6"/>
          <w:sz w:val="21"/>
          <w:szCs w:val="21"/>
        </w:rPr>
        <w:t>活页装订（卡条、抽杆夹、订书机、散装）的投标文件无效。</w:t>
      </w:r>
    </w:p>
    <w:p>
      <w:pPr>
        <w:adjustRightInd w:val="0"/>
        <w:snapToGrid w:val="0"/>
        <w:spacing w:line="288" w:lineRule="auto"/>
        <w:ind w:firstLine="398" w:firstLineChars="200"/>
        <w:rPr>
          <w:rFonts w:ascii="宋体" w:hAnsi="宋体"/>
          <w:spacing w:val="-6"/>
          <w:sz w:val="21"/>
          <w:szCs w:val="21"/>
        </w:rPr>
      </w:pPr>
      <w:r>
        <w:rPr>
          <w:rFonts w:ascii="宋体" w:hAnsi="宋体"/>
          <w:b/>
          <w:bCs/>
          <w:spacing w:val="-6"/>
          <w:sz w:val="21"/>
          <w:szCs w:val="21"/>
        </w:rPr>
        <w:t>3</w:t>
      </w:r>
      <w:r>
        <w:rPr>
          <w:rFonts w:hint="eastAsia" w:ascii="宋体" w:hAnsi="宋体"/>
          <w:b/>
          <w:bCs/>
          <w:spacing w:val="-6"/>
          <w:sz w:val="21"/>
          <w:szCs w:val="21"/>
        </w:rPr>
        <w:t>.</w:t>
      </w:r>
      <w:r>
        <w:rPr>
          <w:rFonts w:hint="eastAsia" w:ascii="宋体" w:hAnsi="宋体"/>
          <w:b/>
          <w:spacing w:val="-6"/>
          <w:sz w:val="21"/>
          <w:szCs w:val="21"/>
        </w:rPr>
        <w:t>包装：报价文件单独密封包装，</w:t>
      </w:r>
      <w:r>
        <w:rPr>
          <w:rFonts w:ascii="宋体" w:hAnsi="宋体"/>
          <w:b/>
          <w:spacing w:val="-6"/>
          <w:sz w:val="21"/>
          <w:szCs w:val="21"/>
        </w:rPr>
        <w:t>资格文件、商务和技术文件</w:t>
      </w:r>
      <w:r>
        <w:rPr>
          <w:rFonts w:hint="eastAsia" w:ascii="宋体" w:hAnsi="宋体"/>
          <w:b/>
          <w:spacing w:val="-6"/>
          <w:sz w:val="21"/>
          <w:szCs w:val="21"/>
        </w:rPr>
        <w:t>合并密封包装，相同部分的正副本可密封在同一个密封袋内。</w:t>
      </w:r>
      <w:r>
        <w:rPr>
          <w:rFonts w:hint="eastAsia" w:ascii="宋体" w:hAnsi="宋体"/>
          <w:spacing w:val="-6"/>
          <w:sz w:val="21"/>
          <w:szCs w:val="21"/>
        </w:rPr>
        <w:t>投标人应在投标文件包装封面上注明投标人名称、投标人地址、投标文件名称（报价文件、资格文件、商务和技术文件）、投标项目名称、项目编号、</w:t>
      </w:r>
      <w:r>
        <w:rPr>
          <w:rFonts w:ascii="宋体" w:hAnsi="宋体"/>
          <w:spacing w:val="-6"/>
          <w:sz w:val="21"/>
          <w:szCs w:val="21"/>
        </w:rPr>
        <w:t>标项</w:t>
      </w:r>
      <w:r>
        <w:rPr>
          <w:rFonts w:hint="eastAsia" w:ascii="宋体" w:hAnsi="宋体"/>
          <w:spacing w:val="-6"/>
          <w:sz w:val="21"/>
          <w:szCs w:val="21"/>
        </w:rPr>
        <w:t>及“开标时启封”字样，并加盖投标人公章。</w:t>
      </w:r>
    </w:p>
    <w:p>
      <w:pPr>
        <w:adjustRightInd w:val="0"/>
        <w:snapToGrid w:val="0"/>
        <w:spacing w:line="288" w:lineRule="auto"/>
        <w:ind w:firstLine="398" w:firstLineChars="200"/>
        <w:rPr>
          <w:rFonts w:ascii="宋体" w:hAnsi="宋体"/>
          <w:spacing w:val="-6"/>
          <w:sz w:val="21"/>
          <w:szCs w:val="21"/>
        </w:rPr>
      </w:pPr>
      <w:r>
        <w:rPr>
          <w:rFonts w:hint="eastAsia" w:ascii="宋体" w:hAnsi="宋体"/>
          <w:b/>
          <w:spacing w:val="-6"/>
          <w:sz w:val="21"/>
          <w:szCs w:val="21"/>
        </w:rPr>
        <w:t>报价文件未按要求密封导致</w:t>
      </w:r>
      <w:r>
        <w:rPr>
          <w:rFonts w:ascii="宋体" w:hAnsi="宋体"/>
          <w:b/>
          <w:spacing w:val="-6"/>
          <w:sz w:val="21"/>
          <w:szCs w:val="21"/>
        </w:rPr>
        <w:t>开标时发生报价泄露</w:t>
      </w:r>
      <w:r>
        <w:rPr>
          <w:rFonts w:hint="eastAsia" w:ascii="宋体" w:hAnsi="宋体"/>
          <w:b/>
          <w:spacing w:val="-6"/>
          <w:sz w:val="21"/>
          <w:szCs w:val="21"/>
        </w:rPr>
        <w:t>，投标人</w:t>
      </w:r>
      <w:r>
        <w:rPr>
          <w:rFonts w:ascii="宋体" w:hAnsi="宋体"/>
          <w:b/>
          <w:spacing w:val="-6"/>
          <w:sz w:val="21"/>
          <w:szCs w:val="21"/>
        </w:rPr>
        <w:t>自行承担相关责任</w:t>
      </w:r>
      <w:r>
        <w:rPr>
          <w:rFonts w:hint="eastAsia" w:ascii="宋体" w:hAnsi="宋体"/>
          <w:b/>
          <w:spacing w:val="-6"/>
          <w:sz w:val="21"/>
          <w:szCs w:val="21"/>
        </w:rPr>
        <w:t>。</w:t>
      </w:r>
    </w:p>
    <w:p>
      <w:pPr>
        <w:adjustRightInd w:val="0"/>
        <w:snapToGrid w:val="0"/>
        <w:spacing w:line="288" w:lineRule="auto"/>
        <w:ind w:firstLine="396" w:firstLineChars="200"/>
        <w:rPr>
          <w:rFonts w:ascii="宋体" w:hAnsi="宋体"/>
          <w:spacing w:val="-6"/>
          <w:sz w:val="21"/>
          <w:szCs w:val="21"/>
        </w:rPr>
      </w:pPr>
      <w:r>
        <w:rPr>
          <w:rFonts w:ascii="宋体" w:hAnsi="宋体"/>
          <w:spacing w:val="-6"/>
          <w:sz w:val="21"/>
          <w:szCs w:val="21"/>
        </w:rPr>
        <w:t>4</w:t>
      </w:r>
      <w:r>
        <w:rPr>
          <w:rFonts w:hint="eastAsia" w:ascii="宋体" w:hAnsi="宋体"/>
          <w:spacing w:val="-6"/>
          <w:sz w:val="21"/>
          <w:szCs w:val="21"/>
        </w:rPr>
        <w:t>.未按规定密封</w:t>
      </w:r>
      <w:r>
        <w:rPr>
          <w:rFonts w:ascii="宋体" w:hAnsi="宋体"/>
          <w:spacing w:val="-6"/>
          <w:sz w:val="21"/>
          <w:szCs w:val="21"/>
        </w:rPr>
        <w:t>或</w:t>
      </w:r>
      <w:r>
        <w:rPr>
          <w:rFonts w:hint="eastAsia" w:ascii="宋体" w:hAnsi="宋体"/>
          <w:spacing w:val="-6"/>
          <w:sz w:val="21"/>
          <w:szCs w:val="21"/>
        </w:rPr>
        <w:t>标记的投标文件被误投或提前拆封的风险由投标人承担。</w:t>
      </w:r>
    </w:p>
    <w:p>
      <w:pPr>
        <w:adjustRightInd w:val="0"/>
        <w:snapToGrid w:val="0"/>
        <w:spacing w:line="288" w:lineRule="auto"/>
        <w:ind w:firstLine="396" w:firstLineChars="200"/>
        <w:rPr>
          <w:rFonts w:ascii="宋体" w:hAnsi="宋体"/>
          <w:spacing w:val="-6"/>
          <w:sz w:val="21"/>
          <w:szCs w:val="21"/>
        </w:rPr>
      </w:pPr>
      <w:r>
        <w:rPr>
          <w:rFonts w:ascii="宋体" w:hAnsi="宋体"/>
          <w:spacing w:val="-6"/>
          <w:sz w:val="21"/>
          <w:szCs w:val="21"/>
        </w:rPr>
        <w:t>5.</w:t>
      </w:r>
      <w:r>
        <w:rPr>
          <w:rFonts w:hint="eastAsia" w:ascii="宋体" w:hAnsi="宋体"/>
          <w:spacing w:val="-6"/>
          <w:sz w:val="21"/>
          <w:szCs w:val="21"/>
        </w:rPr>
        <w:t>投标人在投标截止时间前，可以对所递交的投标文件进行补充、修改或者撤回，并书面通知采购代理机构。补充、修改的内容应当按照招标文件要求签署、盖章、密封后，作为投标文件的组成部分</w:t>
      </w:r>
      <w:r>
        <w:rPr>
          <w:rFonts w:ascii="宋体" w:hAnsi="宋体"/>
          <w:spacing w:val="-6"/>
          <w:sz w:val="21"/>
          <w:szCs w:val="21"/>
        </w:rPr>
        <w:t>。</w:t>
      </w:r>
    </w:p>
    <w:p>
      <w:pPr>
        <w:adjustRightInd w:val="0"/>
        <w:snapToGrid w:val="0"/>
        <w:spacing w:line="288" w:lineRule="auto"/>
        <w:jc w:val="left"/>
        <w:rPr>
          <w:rFonts w:ascii="宋体" w:hAnsi="宋体"/>
          <w:b/>
          <w:spacing w:val="-6"/>
          <w:sz w:val="21"/>
          <w:szCs w:val="21"/>
        </w:rPr>
      </w:pPr>
      <w:r>
        <w:rPr>
          <w:rFonts w:hint="eastAsia" w:ascii="宋体" w:hAnsi="宋体"/>
          <w:b/>
          <w:spacing w:val="-6"/>
          <w:sz w:val="21"/>
          <w:szCs w:val="21"/>
        </w:rPr>
        <w:t>（三）投标文件的签署</w:t>
      </w:r>
    </w:p>
    <w:p>
      <w:pPr>
        <w:adjustRightInd w:val="0"/>
        <w:snapToGrid w:val="0"/>
        <w:spacing w:line="288" w:lineRule="auto"/>
        <w:ind w:firstLine="396" w:firstLineChars="200"/>
        <w:jc w:val="left"/>
        <w:rPr>
          <w:rFonts w:ascii="宋体" w:hAnsi="宋体"/>
          <w:spacing w:val="-6"/>
          <w:sz w:val="21"/>
          <w:szCs w:val="21"/>
        </w:rPr>
      </w:pPr>
      <w:r>
        <w:rPr>
          <w:rFonts w:ascii="宋体" w:hAnsi="宋体"/>
          <w:spacing w:val="-6"/>
          <w:sz w:val="21"/>
          <w:szCs w:val="21"/>
        </w:rPr>
        <w:t>1</w:t>
      </w:r>
      <w:r>
        <w:rPr>
          <w:rFonts w:hint="eastAsia" w:ascii="宋体" w:hAnsi="宋体"/>
          <w:spacing w:val="-6"/>
          <w:sz w:val="21"/>
          <w:szCs w:val="21"/>
        </w:rPr>
        <w:t>.投标文件的正本需打印或用不褪色的墨水填写，投标文件正本除本《投标人须知》中规定的可提供复印件外均须提供原件。副本可以是正本的复印件。</w:t>
      </w:r>
    </w:p>
    <w:p>
      <w:pPr>
        <w:adjustRightInd w:val="0"/>
        <w:snapToGrid w:val="0"/>
        <w:spacing w:line="288" w:lineRule="auto"/>
        <w:ind w:firstLine="396" w:firstLineChars="200"/>
        <w:jc w:val="left"/>
        <w:rPr>
          <w:rFonts w:ascii="宋体" w:hAnsi="宋体"/>
          <w:spacing w:val="-6"/>
          <w:sz w:val="21"/>
          <w:szCs w:val="21"/>
        </w:rPr>
      </w:pPr>
      <w:r>
        <w:rPr>
          <w:rFonts w:ascii="宋体" w:hAnsi="宋体"/>
          <w:spacing w:val="-6"/>
          <w:sz w:val="21"/>
          <w:szCs w:val="21"/>
        </w:rPr>
        <w:t>2</w:t>
      </w:r>
      <w:r>
        <w:rPr>
          <w:rFonts w:hint="eastAsia" w:ascii="宋体" w:hAnsi="宋体"/>
          <w:spacing w:val="-6"/>
          <w:sz w:val="21"/>
          <w:szCs w:val="21"/>
        </w:rPr>
        <w:t>.投标文件须由投标人在规定位置盖章并由投标人</w:t>
      </w:r>
      <w:r>
        <w:rPr>
          <w:rFonts w:ascii="宋体" w:hAnsi="宋体"/>
          <w:spacing w:val="-6"/>
          <w:sz w:val="21"/>
          <w:szCs w:val="21"/>
        </w:rPr>
        <w:t>代表</w:t>
      </w:r>
      <w:r>
        <w:rPr>
          <w:rFonts w:hint="eastAsia" w:ascii="宋体" w:hAnsi="宋体"/>
          <w:spacing w:val="-6"/>
          <w:sz w:val="21"/>
          <w:szCs w:val="21"/>
        </w:rPr>
        <w:t>签署，投标人应写全称。</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3.投标文件不得涂改，若有修改错漏处，须由投标人加盖公章，或者由投标人代表签名。投标文件因字迹潦草或表达不清所引起的后果由投标人负责。</w:t>
      </w:r>
    </w:p>
    <w:p>
      <w:pPr>
        <w:adjustRightInd w:val="0"/>
        <w:snapToGrid w:val="0"/>
        <w:spacing w:line="288" w:lineRule="auto"/>
        <w:jc w:val="left"/>
        <w:rPr>
          <w:rFonts w:ascii="宋体" w:hAnsi="宋体"/>
          <w:spacing w:val="-6"/>
          <w:sz w:val="21"/>
          <w:szCs w:val="21"/>
        </w:rPr>
      </w:pPr>
      <w:r>
        <w:rPr>
          <w:rFonts w:hint="eastAsia" w:ascii="宋体" w:hAnsi="宋体"/>
          <w:b/>
          <w:spacing w:val="-6"/>
          <w:sz w:val="21"/>
          <w:szCs w:val="21"/>
        </w:rPr>
        <w:t>（四）投标文件的语言及计量</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投标文件以及投标人与采购人或</w:t>
      </w:r>
      <w:r>
        <w:rPr>
          <w:rFonts w:ascii="宋体" w:hAnsi="宋体"/>
          <w:spacing w:val="-6"/>
          <w:sz w:val="21"/>
          <w:szCs w:val="21"/>
        </w:rPr>
        <w:t>采购代理机构</w:t>
      </w:r>
      <w:r>
        <w:rPr>
          <w:rFonts w:hint="eastAsia" w:ascii="宋体" w:hAnsi="宋体"/>
          <w:spacing w:val="-6"/>
          <w:sz w:val="21"/>
          <w:szCs w:val="21"/>
        </w:rPr>
        <w:t>就有关投标事宜的所有来往函电，均应以中文汉语书写。除签名、盖章、专用名称等特殊情形外，以中文汉语以外的文字表述的投标文件视同未提供（有中文汉语说明的除外）。</w:t>
      </w:r>
    </w:p>
    <w:p>
      <w:pPr>
        <w:adjustRightInd w:val="0"/>
        <w:snapToGrid w:val="0"/>
        <w:spacing w:line="288" w:lineRule="auto"/>
        <w:jc w:val="left"/>
        <w:rPr>
          <w:rFonts w:ascii="宋体" w:hAnsi="宋体"/>
          <w:b/>
          <w:spacing w:val="-6"/>
          <w:sz w:val="21"/>
          <w:szCs w:val="21"/>
        </w:rPr>
      </w:pPr>
      <w:r>
        <w:rPr>
          <w:rFonts w:hint="eastAsia" w:ascii="宋体" w:hAnsi="宋体"/>
          <w:b/>
          <w:spacing w:val="-6"/>
          <w:sz w:val="21"/>
          <w:szCs w:val="21"/>
        </w:rPr>
        <w:t>（五）投标报价</w:t>
      </w:r>
    </w:p>
    <w:p>
      <w:pPr>
        <w:adjustRightInd w:val="0"/>
        <w:snapToGrid w:val="0"/>
        <w:spacing w:line="288" w:lineRule="auto"/>
        <w:ind w:firstLine="425" w:firstLineChars="215"/>
        <w:jc w:val="left"/>
        <w:rPr>
          <w:rFonts w:ascii="宋体" w:hAnsi="宋体"/>
          <w:spacing w:val="-6"/>
          <w:sz w:val="21"/>
          <w:szCs w:val="21"/>
        </w:rPr>
      </w:pPr>
      <w:r>
        <w:rPr>
          <w:rFonts w:hint="eastAsia" w:ascii="宋体" w:hAnsi="宋体"/>
          <w:spacing w:val="-6"/>
          <w:sz w:val="21"/>
          <w:szCs w:val="21"/>
        </w:rPr>
        <w:t>1.报价应按招标文件要求的格式编制、填写报价内容（可自行增行），未按招标文件要求编制、填写的投标文件可能被拒绝；</w:t>
      </w:r>
    </w:p>
    <w:p>
      <w:pPr>
        <w:adjustRightInd w:val="0"/>
        <w:snapToGrid w:val="0"/>
        <w:spacing w:line="288" w:lineRule="auto"/>
        <w:ind w:firstLine="425" w:firstLineChars="215"/>
        <w:jc w:val="left"/>
        <w:rPr>
          <w:rFonts w:ascii="宋体" w:hAnsi="宋体"/>
          <w:spacing w:val="-6"/>
          <w:sz w:val="21"/>
          <w:szCs w:val="21"/>
        </w:rPr>
      </w:pPr>
      <w:r>
        <w:rPr>
          <w:rFonts w:hint="eastAsia" w:ascii="宋体" w:hAnsi="宋体"/>
          <w:spacing w:val="-6"/>
          <w:sz w:val="21"/>
          <w:szCs w:val="21"/>
        </w:rPr>
        <w:t>2.以人民币报价；</w:t>
      </w:r>
    </w:p>
    <w:p>
      <w:pPr>
        <w:adjustRightInd w:val="0"/>
        <w:snapToGrid w:val="0"/>
        <w:spacing w:line="288" w:lineRule="auto"/>
        <w:ind w:firstLine="425" w:firstLineChars="215"/>
        <w:jc w:val="left"/>
        <w:rPr>
          <w:rFonts w:ascii="宋体" w:hAnsi="宋体"/>
          <w:spacing w:val="-6"/>
          <w:sz w:val="21"/>
          <w:szCs w:val="21"/>
        </w:rPr>
      </w:pPr>
      <w:r>
        <w:rPr>
          <w:rFonts w:hint="eastAsia" w:ascii="宋体" w:hAnsi="宋体"/>
          <w:spacing w:val="-6"/>
          <w:sz w:val="21"/>
          <w:szCs w:val="21"/>
        </w:rPr>
        <w:t>3.投标报价是履行合同的最终价格，有关本项目实施所涉及的一切费用均计入报价；</w:t>
      </w:r>
    </w:p>
    <w:p>
      <w:pPr>
        <w:adjustRightInd w:val="0"/>
        <w:snapToGrid w:val="0"/>
        <w:spacing w:line="288" w:lineRule="auto"/>
        <w:ind w:firstLine="425" w:firstLineChars="215"/>
        <w:jc w:val="left"/>
        <w:rPr>
          <w:rFonts w:ascii="宋体" w:hAnsi="宋体"/>
          <w:spacing w:val="-6"/>
          <w:sz w:val="21"/>
          <w:szCs w:val="21"/>
        </w:rPr>
      </w:pPr>
      <w:r>
        <w:rPr>
          <w:rFonts w:hint="eastAsia" w:ascii="宋体" w:hAnsi="宋体"/>
          <w:spacing w:val="-6"/>
          <w:sz w:val="21"/>
          <w:szCs w:val="21"/>
        </w:rPr>
        <w:t>4.投标文件只允许有一个报价，有选择的报价将不予接受。</w:t>
      </w:r>
    </w:p>
    <w:p>
      <w:pPr>
        <w:adjustRightInd w:val="0"/>
        <w:snapToGrid w:val="0"/>
        <w:spacing w:line="288" w:lineRule="auto"/>
        <w:ind w:firstLine="420" w:firstLineChars="200"/>
        <w:jc w:val="left"/>
        <w:rPr>
          <w:rFonts w:ascii="宋体" w:hAnsi="宋体" w:cs="宋体"/>
          <w:sz w:val="21"/>
          <w:szCs w:val="21"/>
        </w:rPr>
      </w:pPr>
      <w:bookmarkStart w:id="41" w:name="_Hlk94018664"/>
      <w:r>
        <w:rPr>
          <w:rFonts w:hint="eastAsia" w:ascii="宋体" w:hAnsi="宋体" w:cs="宋体"/>
          <w:sz w:val="21"/>
          <w:szCs w:val="21"/>
        </w:rPr>
        <w:t>▲5.采购人将以合同形式有偿取得货物或服务，不接受投标人给予的赠品、回扣或者与采购无关的其他商品、服务。</w:t>
      </w:r>
    </w:p>
    <w:bookmarkEnd w:id="41"/>
    <w:p>
      <w:pPr>
        <w:adjustRightInd w:val="0"/>
        <w:snapToGrid w:val="0"/>
        <w:spacing w:line="288" w:lineRule="auto"/>
        <w:jc w:val="left"/>
        <w:rPr>
          <w:rFonts w:ascii="宋体" w:hAnsi="宋体"/>
          <w:b/>
          <w:spacing w:val="-6"/>
          <w:sz w:val="21"/>
          <w:szCs w:val="21"/>
        </w:rPr>
      </w:pPr>
      <w:r>
        <w:rPr>
          <w:rFonts w:hint="eastAsia" w:ascii="宋体" w:hAnsi="宋体"/>
          <w:b/>
          <w:spacing w:val="-6"/>
          <w:sz w:val="21"/>
          <w:szCs w:val="21"/>
        </w:rPr>
        <w:t>（六）投标有效期</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▲从提交投标文件的截止之日起</w:t>
      </w:r>
      <w:r>
        <w:rPr>
          <w:rFonts w:ascii="宋体" w:hAnsi="宋体"/>
          <w:spacing w:val="-6"/>
          <w:sz w:val="21"/>
          <w:szCs w:val="21"/>
        </w:rPr>
        <w:t>90天，在原投标有效期满之前，如果出现特殊情况，采购人或采购代理机构以书面形式通知投标人延长投标有效期。</w:t>
      </w:r>
    </w:p>
    <w:p>
      <w:pPr>
        <w:adjustRightInd w:val="0"/>
        <w:snapToGrid w:val="0"/>
        <w:spacing w:line="288" w:lineRule="auto"/>
        <w:jc w:val="left"/>
        <w:rPr>
          <w:rFonts w:ascii="宋体" w:hAnsi="宋体"/>
          <w:b/>
          <w:spacing w:val="-6"/>
          <w:sz w:val="21"/>
          <w:szCs w:val="21"/>
        </w:rPr>
      </w:pPr>
      <w:r>
        <w:rPr>
          <w:rFonts w:hint="eastAsia" w:ascii="宋体" w:hAnsi="宋体"/>
          <w:b/>
          <w:spacing w:val="-6"/>
          <w:sz w:val="21"/>
          <w:szCs w:val="21"/>
        </w:rPr>
        <w:t>（七）投标保证金</w:t>
      </w:r>
    </w:p>
    <w:p>
      <w:pPr>
        <w:spacing w:line="288" w:lineRule="auto"/>
        <w:ind w:firstLine="396" w:firstLineChars="200"/>
        <w:jc w:val="left"/>
        <w:rPr>
          <w:rFonts w:ascii="宋体" w:hAnsi="宋体"/>
          <w:spacing w:val="-6"/>
          <w:sz w:val="21"/>
          <w:szCs w:val="21"/>
        </w:rPr>
      </w:pPr>
      <w:r>
        <w:rPr>
          <w:rFonts w:hint="eastAsia" w:ascii="宋体" w:hAnsi="宋体"/>
          <w:spacing w:val="-6"/>
          <w:sz w:val="21"/>
          <w:szCs w:val="21"/>
        </w:rPr>
        <w:t>▲1.投标人须按时提交投标保证金。否则，其投标将被拒绝。</w:t>
      </w:r>
    </w:p>
    <w:p>
      <w:pPr>
        <w:spacing w:line="288" w:lineRule="auto"/>
        <w:ind w:firstLine="396" w:firstLineChars="200"/>
        <w:jc w:val="left"/>
        <w:rPr>
          <w:rFonts w:ascii="宋体" w:hAnsi="宋体" w:cs="宋体"/>
          <w:b/>
          <w:spacing w:val="-6"/>
          <w:kern w:val="0"/>
          <w:sz w:val="21"/>
          <w:szCs w:val="21"/>
        </w:rPr>
      </w:pPr>
      <w:r>
        <w:rPr>
          <w:rFonts w:hint="eastAsia" w:ascii="宋体" w:hAnsi="宋体"/>
          <w:spacing w:val="-6"/>
          <w:sz w:val="21"/>
          <w:szCs w:val="21"/>
        </w:rPr>
        <w:t>2.保证金支付形式：</w:t>
      </w:r>
      <w:r>
        <w:rPr>
          <w:rFonts w:hint="eastAsia" w:ascii="宋体" w:hAnsi="宋体" w:cs="宋体"/>
          <w:b/>
          <w:spacing w:val="-6"/>
          <w:kern w:val="0"/>
          <w:sz w:val="21"/>
          <w:szCs w:val="21"/>
        </w:rPr>
        <w:t>转账、银行汇款等非现金方式。</w:t>
      </w:r>
    </w:p>
    <w:p>
      <w:pPr>
        <w:spacing w:line="288" w:lineRule="auto"/>
        <w:ind w:firstLine="396" w:firstLineChars="200"/>
        <w:jc w:val="left"/>
        <w:rPr>
          <w:rFonts w:ascii="宋体" w:hAnsi="宋体"/>
          <w:spacing w:val="-6"/>
          <w:sz w:val="21"/>
          <w:szCs w:val="21"/>
        </w:rPr>
      </w:pPr>
      <w:r>
        <w:rPr>
          <w:rFonts w:hint="eastAsia" w:ascii="宋体" w:hAnsi="宋体"/>
          <w:spacing w:val="-6"/>
          <w:sz w:val="21"/>
          <w:szCs w:val="21"/>
        </w:rPr>
        <w:t>3.未中标的投标保证金，在中标通知书发出后五个工作日内凭保证金收据自行退还。</w:t>
      </w:r>
    </w:p>
    <w:p>
      <w:pPr>
        <w:spacing w:line="288" w:lineRule="auto"/>
        <w:ind w:firstLine="396" w:firstLineChars="200"/>
        <w:jc w:val="left"/>
        <w:rPr>
          <w:rFonts w:ascii="宋体" w:hAnsi="宋体"/>
          <w:spacing w:val="-6"/>
          <w:sz w:val="21"/>
          <w:szCs w:val="21"/>
        </w:rPr>
      </w:pPr>
      <w:r>
        <w:rPr>
          <w:rFonts w:hint="eastAsia" w:ascii="宋体" w:hAnsi="宋体"/>
          <w:spacing w:val="-6"/>
          <w:sz w:val="21"/>
          <w:szCs w:val="21"/>
        </w:rPr>
        <w:t>4．中标人的投标保证金，在采购合同签订后五个工作日内凭保证金收据自行退还。</w:t>
      </w:r>
    </w:p>
    <w:p>
      <w:pPr>
        <w:spacing w:line="288" w:lineRule="auto"/>
        <w:ind w:firstLine="396" w:firstLineChars="200"/>
        <w:jc w:val="left"/>
        <w:rPr>
          <w:rFonts w:ascii="宋体" w:hAnsi="宋体"/>
          <w:spacing w:val="-6"/>
          <w:sz w:val="21"/>
          <w:szCs w:val="21"/>
        </w:rPr>
      </w:pPr>
      <w:r>
        <w:rPr>
          <w:rFonts w:hint="eastAsia" w:ascii="宋体" w:hAnsi="宋体"/>
          <w:spacing w:val="-6"/>
          <w:sz w:val="21"/>
          <w:szCs w:val="21"/>
        </w:rPr>
        <w:t>5.</w:t>
      </w:r>
      <w:r>
        <w:rPr>
          <w:rFonts w:ascii="宋体" w:hAnsi="宋体"/>
          <w:spacing w:val="-6"/>
          <w:sz w:val="21"/>
          <w:szCs w:val="21"/>
        </w:rPr>
        <w:t>保证金不计息。</w:t>
      </w:r>
    </w:p>
    <w:p>
      <w:pPr>
        <w:spacing w:line="288" w:lineRule="auto"/>
        <w:ind w:firstLine="396" w:firstLineChars="200"/>
        <w:jc w:val="left"/>
        <w:rPr>
          <w:rFonts w:ascii="宋体" w:hAnsi="宋体"/>
          <w:spacing w:val="-6"/>
          <w:sz w:val="21"/>
          <w:szCs w:val="21"/>
        </w:rPr>
      </w:pPr>
      <w:r>
        <w:rPr>
          <w:rFonts w:hint="eastAsia" w:ascii="宋体" w:hAnsi="宋体"/>
          <w:spacing w:val="-6"/>
          <w:sz w:val="21"/>
          <w:szCs w:val="21"/>
        </w:rPr>
        <w:t>6.下列情况，投标保证金将不予退还：</w:t>
      </w:r>
    </w:p>
    <w:p>
      <w:pPr>
        <w:spacing w:line="288" w:lineRule="auto"/>
        <w:ind w:firstLine="396" w:firstLineChars="200"/>
        <w:rPr>
          <w:rFonts w:ascii="宋体" w:hAnsi="宋体"/>
          <w:spacing w:val="-6"/>
          <w:sz w:val="21"/>
          <w:szCs w:val="21"/>
        </w:rPr>
      </w:pPr>
      <w:r>
        <w:rPr>
          <w:rFonts w:hint="eastAsia" w:ascii="宋体" w:hAnsi="宋体"/>
          <w:spacing w:val="-6"/>
          <w:sz w:val="21"/>
          <w:szCs w:val="21"/>
        </w:rPr>
        <w:t>（一）投标人在提交投标文件截止时间后撤回投标文件的；</w:t>
      </w:r>
    </w:p>
    <w:p>
      <w:pPr>
        <w:spacing w:line="288" w:lineRule="auto"/>
        <w:ind w:firstLine="396" w:firstLineChars="200"/>
        <w:rPr>
          <w:rFonts w:ascii="宋体" w:hAnsi="宋体"/>
          <w:spacing w:val="-6"/>
          <w:sz w:val="21"/>
          <w:szCs w:val="21"/>
        </w:rPr>
      </w:pPr>
      <w:r>
        <w:rPr>
          <w:rFonts w:hint="eastAsia" w:ascii="宋体" w:hAnsi="宋体"/>
          <w:spacing w:val="-6"/>
          <w:sz w:val="21"/>
          <w:szCs w:val="21"/>
        </w:rPr>
        <w:t>（二）投标人在投标文件中提供虚假材料的；</w:t>
      </w:r>
    </w:p>
    <w:p>
      <w:pPr>
        <w:spacing w:line="288" w:lineRule="auto"/>
        <w:ind w:firstLine="396" w:firstLineChars="200"/>
        <w:rPr>
          <w:rFonts w:ascii="宋体" w:hAnsi="宋体"/>
          <w:spacing w:val="-6"/>
          <w:sz w:val="21"/>
          <w:szCs w:val="21"/>
        </w:rPr>
      </w:pPr>
      <w:r>
        <w:rPr>
          <w:rFonts w:hint="eastAsia" w:ascii="宋体" w:hAnsi="宋体"/>
          <w:spacing w:val="-6"/>
          <w:sz w:val="21"/>
          <w:szCs w:val="21"/>
        </w:rPr>
        <w:t>（三）除因不可抗力或招标文件认可的情形以外，中标人不与采购人签订合同的；</w:t>
      </w:r>
    </w:p>
    <w:p>
      <w:pPr>
        <w:spacing w:line="288" w:lineRule="auto"/>
        <w:ind w:firstLine="396" w:firstLineChars="200"/>
        <w:rPr>
          <w:rFonts w:ascii="宋体" w:hAnsi="宋体"/>
          <w:spacing w:val="-6"/>
          <w:sz w:val="21"/>
          <w:szCs w:val="21"/>
        </w:rPr>
      </w:pPr>
      <w:r>
        <w:rPr>
          <w:rFonts w:hint="eastAsia" w:ascii="宋体" w:hAnsi="宋体"/>
          <w:spacing w:val="-6"/>
          <w:sz w:val="21"/>
          <w:szCs w:val="21"/>
        </w:rPr>
        <w:t>（四）投标人与采购人、其他投标人或者采购代理机构恶意串通的；</w:t>
      </w:r>
    </w:p>
    <w:p>
      <w:pPr>
        <w:spacing w:line="288" w:lineRule="auto"/>
        <w:ind w:firstLine="396" w:firstLineChars="200"/>
        <w:rPr>
          <w:rFonts w:ascii="宋体" w:hAnsi="宋体"/>
          <w:spacing w:val="-6"/>
          <w:sz w:val="21"/>
          <w:szCs w:val="21"/>
        </w:rPr>
      </w:pPr>
      <w:r>
        <w:rPr>
          <w:rFonts w:hint="eastAsia" w:ascii="宋体" w:hAnsi="宋体"/>
          <w:spacing w:val="-6"/>
          <w:sz w:val="21"/>
          <w:szCs w:val="21"/>
        </w:rPr>
        <w:t>（五）招标文件规定的其他情形。</w:t>
      </w:r>
    </w:p>
    <w:p>
      <w:pPr>
        <w:widowControl/>
        <w:jc w:val="left"/>
        <w:rPr>
          <w:rFonts w:ascii="宋体" w:hAnsi="宋体"/>
          <w:b/>
          <w:spacing w:val="-6"/>
          <w:sz w:val="21"/>
          <w:szCs w:val="21"/>
        </w:rPr>
      </w:pPr>
      <w:r>
        <w:rPr>
          <w:rFonts w:ascii="宋体" w:hAnsi="宋体"/>
          <w:b/>
          <w:spacing w:val="-6"/>
          <w:sz w:val="21"/>
          <w:szCs w:val="21"/>
        </w:rPr>
        <w:br w:type="page"/>
      </w:r>
    </w:p>
    <w:p>
      <w:pPr>
        <w:adjustRightInd w:val="0"/>
        <w:snapToGrid w:val="0"/>
        <w:spacing w:line="288" w:lineRule="auto"/>
        <w:jc w:val="center"/>
        <w:outlineLvl w:val="1"/>
        <w:rPr>
          <w:rFonts w:ascii="宋体" w:hAnsi="宋体"/>
          <w:b/>
          <w:spacing w:val="-6"/>
          <w:sz w:val="21"/>
          <w:szCs w:val="21"/>
        </w:rPr>
      </w:pPr>
      <w:r>
        <w:rPr>
          <w:rFonts w:hint="eastAsia" w:ascii="宋体" w:hAnsi="宋体"/>
          <w:b/>
          <w:spacing w:val="-6"/>
          <w:sz w:val="21"/>
          <w:szCs w:val="21"/>
        </w:rPr>
        <w:t>四、资格审查不通过、投标无效的情形</w:t>
      </w:r>
    </w:p>
    <w:p>
      <w:pPr>
        <w:adjustRightInd w:val="0"/>
        <w:snapToGrid w:val="0"/>
        <w:spacing w:line="288" w:lineRule="auto"/>
        <w:ind w:firstLine="420" w:firstLineChars="200"/>
        <w:rPr>
          <w:rFonts w:ascii="宋体" w:hAnsi="宋体" w:cs="宋体"/>
          <w:sz w:val="21"/>
          <w:szCs w:val="21"/>
        </w:rPr>
      </w:pPr>
      <w:bookmarkStart w:id="42" w:name="_Hlk94018682"/>
      <w:r>
        <w:rPr>
          <w:rFonts w:hint="eastAsia" w:ascii="宋体" w:hAnsi="宋体" w:cs="宋体"/>
          <w:sz w:val="21"/>
          <w:szCs w:val="21"/>
        </w:rPr>
        <w:t>未响应招标文件“▲”标记条款要求的，投标无效。</w:t>
      </w:r>
      <w:bookmarkEnd w:id="42"/>
    </w:p>
    <w:p>
      <w:pPr>
        <w:widowControl/>
        <w:adjustRightInd w:val="0"/>
        <w:snapToGrid w:val="0"/>
        <w:spacing w:line="288" w:lineRule="auto"/>
        <w:ind w:firstLine="398" w:firstLineChars="200"/>
        <w:jc w:val="left"/>
        <w:rPr>
          <w:rFonts w:ascii="宋体" w:hAnsi="宋体"/>
          <w:b/>
          <w:spacing w:val="-6"/>
          <w:sz w:val="21"/>
          <w:szCs w:val="21"/>
        </w:rPr>
      </w:pPr>
      <w:r>
        <w:rPr>
          <w:rFonts w:hint="eastAsia" w:ascii="宋体" w:hAnsi="宋体"/>
          <w:b/>
          <w:spacing w:val="-6"/>
          <w:sz w:val="21"/>
          <w:szCs w:val="21"/>
        </w:rPr>
        <w:t>1</w:t>
      </w:r>
      <w:r>
        <w:rPr>
          <w:rFonts w:ascii="宋体" w:hAnsi="宋体"/>
          <w:b/>
          <w:spacing w:val="-6"/>
          <w:sz w:val="21"/>
          <w:szCs w:val="21"/>
        </w:rPr>
        <w:t>.</w:t>
      </w:r>
      <w:r>
        <w:rPr>
          <w:rFonts w:hint="eastAsia" w:ascii="宋体" w:hAnsi="宋体"/>
          <w:b/>
          <w:spacing w:val="-6"/>
          <w:sz w:val="21"/>
          <w:szCs w:val="21"/>
        </w:rPr>
        <w:t>在资格审查时，如发现下列情形之一的，投标文件将被视为无效：</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（1</w:t>
      </w:r>
      <w:r>
        <w:rPr>
          <w:rFonts w:ascii="宋体" w:hAnsi="宋体"/>
          <w:spacing w:val="-6"/>
          <w:sz w:val="21"/>
          <w:szCs w:val="21"/>
        </w:rPr>
        <w:t>）资格证明</w:t>
      </w:r>
      <w:r>
        <w:rPr>
          <w:rFonts w:hint="eastAsia" w:ascii="宋体" w:hAnsi="宋体"/>
          <w:spacing w:val="-6"/>
          <w:sz w:val="21"/>
          <w:szCs w:val="21"/>
        </w:rPr>
        <w:t>材料</w:t>
      </w:r>
      <w:r>
        <w:rPr>
          <w:rFonts w:ascii="宋体" w:hAnsi="宋体"/>
          <w:spacing w:val="-6"/>
          <w:sz w:val="21"/>
          <w:szCs w:val="21"/>
        </w:rPr>
        <w:t>不全的，或者不符合</w:t>
      </w:r>
      <w:r>
        <w:rPr>
          <w:rFonts w:hint="eastAsia" w:ascii="宋体" w:hAnsi="宋体"/>
          <w:spacing w:val="-6"/>
          <w:sz w:val="21"/>
          <w:szCs w:val="21"/>
        </w:rPr>
        <w:t>招标</w:t>
      </w:r>
      <w:r>
        <w:rPr>
          <w:rFonts w:ascii="宋体" w:hAnsi="宋体"/>
          <w:spacing w:val="-6"/>
          <w:sz w:val="21"/>
          <w:szCs w:val="21"/>
        </w:rPr>
        <w:t>文件要求</w:t>
      </w:r>
      <w:r>
        <w:rPr>
          <w:rFonts w:hint="eastAsia" w:ascii="宋体" w:hAnsi="宋体"/>
          <w:spacing w:val="-6"/>
          <w:sz w:val="21"/>
          <w:szCs w:val="21"/>
        </w:rPr>
        <w:t>；</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（2）投标人不具备招标文件中规定的资格要求；</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（3）资格</w:t>
      </w:r>
      <w:r>
        <w:rPr>
          <w:rFonts w:ascii="宋体" w:hAnsi="宋体"/>
          <w:spacing w:val="-6"/>
          <w:sz w:val="21"/>
          <w:szCs w:val="21"/>
        </w:rPr>
        <w:t>文件</w:t>
      </w:r>
      <w:r>
        <w:rPr>
          <w:rFonts w:hint="eastAsia" w:ascii="宋体" w:hAnsi="宋体"/>
          <w:spacing w:val="-6"/>
          <w:sz w:val="21"/>
          <w:szCs w:val="21"/>
        </w:rPr>
        <w:t>未按要求签署、盖章；</w:t>
      </w:r>
    </w:p>
    <w:p>
      <w:pPr>
        <w:adjustRightInd w:val="0"/>
        <w:snapToGrid w:val="0"/>
        <w:spacing w:line="288" w:lineRule="auto"/>
        <w:ind w:firstLine="398" w:firstLineChars="200"/>
        <w:rPr>
          <w:rFonts w:ascii="宋体" w:hAnsi="宋体"/>
          <w:b/>
          <w:spacing w:val="-6"/>
          <w:sz w:val="21"/>
          <w:szCs w:val="21"/>
        </w:rPr>
      </w:pPr>
      <w:r>
        <w:rPr>
          <w:rFonts w:hint="eastAsia" w:ascii="宋体" w:hAnsi="宋体"/>
          <w:b/>
          <w:spacing w:val="-6"/>
          <w:sz w:val="21"/>
          <w:szCs w:val="21"/>
        </w:rPr>
        <w:t>2</w:t>
      </w:r>
      <w:r>
        <w:rPr>
          <w:rFonts w:ascii="宋体" w:hAnsi="宋体"/>
          <w:b/>
          <w:spacing w:val="-6"/>
          <w:sz w:val="21"/>
          <w:szCs w:val="21"/>
        </w:rPr>
        <w:t>.</w:t>
      </w:r>
      <w:r>
        <w:rPr>
          <w:rFonts w:hint="eastAsia" w:ascii="宋体" w:hAnsi="宋体"/>
          <w:b/>
          <w:spacing w:val="-6"/>
          <w:sz w:val="21"/>
          <w:szCs w:val="21"/>
        </w:rPr>
        <w:t>在符合</w:t>
      </w:r>
      <w:r>
        <w:rPr>
          <w:rFonts w:ascii="宋体" w:hAnsi="宋体"/>
          <w:b/>
          <w:spacing w:val="-6"/>
          <w:sz w:val="21"/>
          <w:szCs w:val="21"/>
        </w:rPr>
        <w:t>性审查、</w:t>
      </w:r>
      <w:r>
        <w:rPr>
          <w:rFonts w:hint="eastAsia" w:ascii="宋体" w:hAnsi="宋体"/>
          <w:b/>
          <w:spacing w:val="-6"/>
          <w:sz w:val="21"/>
          <w:szCs w:val="21"/>
        </w:rPr>
        <w:t>商务</w:t>
      </w:r>
      <w:r>
        <w:rPr>
          <w:rFonts w:ascii="宋体" w:hAnsi="宋体"/>
          <w:b/>
          <w:spacing w:val="-6"/>
          <w:sz w:val="21"/>
          <w:szCs w:val="21"/>
        </w:rPr>
        <w:t>和技术评审</w:t>
      </w:r>
      <w:r>
        <w:rPr>
          <w:rFonts w:hint="eastAsia" w:ascii="宋体" w:hAnsi="宋体"/>
          <w:b/>
          <w:spacing w:val="-6"/>
          <w:sz w:val="21"/>
          <w:szCs w:val="21"/>
        </w:rPr>
        <w:t>时，如发现下列情形之一的，投标文件将被视为无效：</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（1</w:t>
      </w:r>
      <w:r>
        <w:rPr>
          <w:rFonts w:ascii="宋体" w:hAnsi="宋体"/>
          <w:spacing w:val="-6"/>
          <w:sz w:val="21"/>
          <w:szCs w:val="21"/>
        </w:rPr>
        <w:t>）</w:t>
      </w:r>
      <w:r>
        <w:rPr>
          <w:rFonts w:hint="eastAsia" w:ascii="宋体" w:hAnsi="宋体"/>
          <w:spacing w:val="-6"/>
          <w:sz w:val="21"/>
          <w:szCs w:val="21"/>
        </w:rPr>
        <w:t>商务</w:t>
      </w:r>
      <w:r>
        <w:rPr>
          <w:rFonts w:ascii="宋体" w:hAnsi="宋体"/>
          <w:spacing w:val="-6"/>
          <w:sz w:val="21"/>
          <w:szCs w:val="21"/>
        </w:rPr>
        <w:t>和技术文件</w:t>
      </w:r>
      <w:r>
        <w:rPr>
          <w:rFonts w:hint="eastAsia" w:ascii="宋体" w:hAnsi="宋体"/>
          <w:spacing w:val="-6"/>
          <w:sz w:val="21"/>
          <w:szCs w:val="21"/>
        </w:rPr>
        <w:t>未按要求签署、盖章；</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（2）未提供或未按要求提供投标函、授权委托书；</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（3）委托授权代表参加投标但未提供符合要求的授权代表社保缴纳证明；</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（4）未提供或未如实提供采购</w:t>
      </w:r>
      <w:r>
        <w:rPr>
          <w:rFonts w:ascii="宋体" w:hAnsi="宋体"/>
          <w:spacing w:val="-6"/>
          <w:sz w:val="21"/>
          <w:szCs w:val="21"/>
        </w:rPr>
        <w:t>需求偏离表；</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（5）明显不符合招标文件要求，或负偏离达到规定数目的，视为采购人不能接受的附加条件；</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w:t>
      </w:r>
      <w:r>
        <w:rPr>
          <w:rFonts w:ascii="宋体" w:hAnsi="宋体"/>
          <w:spacing w:val="-6"/>
          <w:sz w:val="21"/>
          <w:szCs w:val="21"/>
        </w:rPr>
        <w:t>6</w:t>
      </w:r>
      <w:r>
        <w:rPr>
          <w:rFonts w:hint="eastAsia" w:ascii="宋体" w:hAnsi="宋体"/>
          <w:spacing w:val="-6"/>
          <w:sz w:val="21"/>
          <w:szCs w:val="21"/>
        </w:rPr>
        <w:t>）</w:t>
      </w:r>
      <w:r>
        <w:rPr>
          <w:rFonts w:ascii="宋体" w:hAnsi="宋体"/>
          <w:spacing w:val="-6"/>
          <w:sz w:val="21"/>
          <w:szCs w:val="21"/>
        </w:rPr>
        <w:t>投标技术方案不明确，存在一个或一个以上备选（替代）投标方案；</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w:t>
      </w:r>
      <w:r>
        <w:rPr>
          <w:rFonts w:ascii="宋体" w:hAnsi="宋体"/>
          <w:spacing w:val="-6"/>
          <w:sz w:val="21"/>
          <w:szCs w:val="21"/>
        </w:rPr>
        <w:t>7</w:t>
      </w:r>
      <w:r>
        <w:rPr>
          <w:rFonts w:hint="eastAsia" w:ascii="宋体" w:hAnsi="宋体"/>
          <w:spacing w:val="-6"/>
          <w:sz w:val="21"/>
          <w:szCs w:val="21"/>
        </w:rPr>
        <w:t>）投标文件含有采购人不能接受的附加条件；</w:t>
      </w:r>
    </w:p>
    <w:p>
      <w:pPr>
        <w:widowControl/>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w:t>
      </w:r>
      <w:r>
        <w:rPr>
          <w:rFonts w:ascii="宋体" w:hAnsi="宋体"/>
          <w:spacing w:val="-6"/>
          <w:sz w:val="21"/>
          <w:szCs w:val="21"/>
        </w:rPr>
        <w:t>8</w:t>
      </w:r>
      <w:r>
        <w:rPr>
          <w:rFonts w:hint="eastAsia" w:ascii="宋体" w:hAnsi="宋体"/>
          <w:spacing w:val="-6"/>
          <w:sz w:val="21"/>
          <w:szCs w:val="21"/>
        </w:rPr>
        <w:t>）法律、法规和招标文件规定的其他无效情形。</w:t>
      </w:r>
    </w:p>
    <w:p>
      <w:pPr>
        <w:widowControl/>
        <w:adjustRightInd w:val="0"/>
        <w:snapToGrid w:val="0"/>
        <w:spacing w:line="288" w:lineRule="auto"/>
        <w:ind w:firstLine="398" w:firstLineChars="200"/>
        <w:jc w:val="left"/>
        <w:rPr>
          <w:rFonts w:ascii="宋体" w:hAnsi="宋体"/>
          <w:b/>
          <w:spacing w:val="-6"/>
          <w:sz w:val="21"/>
          <w:szCs w:val="21"/>
        </w:rPr>
      </w:pPr>
      <w:r>
        <w:rPr>
          <w:rFonts w:hint="eastAsia" w:ascii="宋体" w:hAnsi="宋体"/>
          <w:b/>
          <w:spacing w:val="-6"/>
          <w:sz w:val="21"/>
          <w:szCs w:val="21"/>
        </w:rPr>
        <w:t>3</w:t>
      </w:r>
      <w:r>
        <w:rPr>
          <w:rFonts w:ascii="宋体" w:hAnsi="宋体"/>
          <w:b/>
          <w:spacing w:val="-6"/>
          <w:sz w:val="21"/>
          <w:szCs w:val="21"/>
        </w:rPr>
        <w:t>.在报价评审时，如发现下列情形之一的，投标文件将被视为无效：</w:t>
      </w:r>
    </w:p>
    <w:p>
      <w:pPr>
        <w:widowControl/>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（1）报价</w:t>
      </w:r>
      <w:r>
        <w:rPr>
          <w:rFonts w:ascii="宋体" w:hAnsi="宋体"/>
          <w:spacing w:val="-6"/>
          <w:sz w:val="21"/>
          <w:szCs w:val="21"/>
        </w:rPr>
        <w:t>文件</w:t>
      </w:r>
      <w:r>
        <w:rPr>
          <w:rFonts w:hint="eastAsia" w:ascii="宋体" w:hAnsi="宋体"/>
          <w:spacing w:val="-6"/>
          <w:sz w:val="21"/>
          <w:szCs w:val="21"/>
        </w:rPr>
        <w:t>未按要求签署、盖章；</w:t>
      </w:r>
    </w:p>
    <w:p>
      <w:pPr>
        <w:widowControl/>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（2</w:t>
      </w:r>
      <w:r>
        <w:rPr>
          <w:rFonts w:ascii="宋体" w:hAnsi="宋体"/>
          <w:spacing w:val="-6"/>
          <w:sz w:val="21"/>
          <w:szCs w:val="21"/>
        </w:rPr>
        <w:t>）未按照招标文件标明的币种报价</w:t>
      </w:r>
      <w:r>
        <w:rPr>
          <w:rFonts w:hint="eastAsia" w:ascii="宋体" w:hAnsi="宋体"/>
          <w:spacing w:val="-6"/>
          <w:sz w:val="21"/>
          <w:szCs w:val="21"/>
        </w:rPr>
        <w:t>；</w:t>
      </w:r>
    </w:p>
    <w:p>
      <w:pPr>
        <w:widowControl/>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（3）</w:t>
      </w:r>
      <w:r>
        <w:rPr>
          <w:rFonts w:ascii="宋体" w:hAnsi="宋体"/>
          <w:spacing w:val="-6"/>
          <w:sz w:val="21"/>
          <w:szCs w:val="21"/>
        </w:rPr>
        <w:t>报价</w:t>
      </w:r>
      <w:r>
        <w:rPr>
          <w:rFonts w:hint="eastAsia" w:ascii="宋体" w:hAnsi="宋体"/>
          <w:spacing w:val="-6"/>
          <w:sz w:val="21"/>
          <w:szCs w:val="21"/>
        </w:rPr>
        <w:t>明细有</w:t>
      </w:r>
      <w:r>
        <w:rPr>
          <w:rFonts w:ascii="宋体" w:hAnsi="宋体"/>
          <w:spacing w:val="-6"/>
          <w:sz w:val="21"/>
          <w:szCs w:val="21"/>
        </w:rPr>
        <w:t>缺漏项</w:t>
      </w:r>
      <w:r>
        <w:rPr>
          <w:rFonts w:hint="eastAsia" w:ascii="宋体" w:hAnsi="宋体"/>
          <w:spacing w:val="-6"/>
          <w:sz w:val="21"/>
          <w:szCs w:val="21"/>
        </w:rPr>
        <w:t>，或者</w:t>
      </w:r>
      <w:r>
        <w:rPr>
          <w:rFonts w:ascii="宋体" w:hAnsi="宋体"/>
          <w:spacing w:val="-6"/>
          <w:sz w:val="21"/>
          <w:szCs w:val="21"/>
        </w:rPr>
        <w:t>与招标文件要求不一致；</w:t>
      </w:r>
    </w:p>
    <w:p>
      <w:pPr>
        <w:widowControl/>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（4）报价超过招标文件中规定的预算金额或者最高限价；</w:t>
      </w:r>
    </w:p>
    <w:p>
      <w:pPr>
        <w:widowControl/>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（5）报价具有选择性，或者开标价格与投标文件承诺的优惠（折扣）价格不一致；</w:t>
      </w:r>
    </w:p>
    <w:p>
      <w:pPr>
        <w:widowControl/>
        <w:adjustRightInd w:val="0"/>
        <w:snapToGrid w:val="0"/>
        <w:spacing w:line="288" w:lineRule="auto"/>
        <w:ind w:firstLine="396" w:firstLineChars="200"/>
        <w:jc w:val="left"/>
        <w:rPr>
          <w:rFonts w:ascii="宋体" w:hAnsi="宋体"/>
          <w:spacing w:val="-6"/>
          <w:sz w:val="21"/>
          <w:szCs w:val="21"/>
        </w:rPr>
      </w:pPr>
      <w:bookmarkStart w:id="43" w:name="_Hlk94018736"/>
      <w:r>
        <w:rPr>
          <w:rFonts w:hint="eastAsia" w:ascii="宋体" w:hAnsi="宋体"/>
          <w:spacing w:val="-6"/>
          <w:sz w:val="21"/>
          <w:szCs w:val="21"/>
        </w:rPr>
        <w:t>特别说明：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bookmarkEnd w:id="43"/>
    <w:p>
      <w:pPr>
        <w:widowControl/>
        <w:adjustRightInd w:val="0"/>
        <w:snapToGrid w:val="0"/>
        <w:spacing w:line="288" w:lineRule="auto"/>
        <w:ind w:firstLine="398" w:firstLineChars="200"/>
        <w:jc w:val="left"/>
        <w:rPr>
          <w:rFonts w:ascii="宋体" w:hAnsi="宋体"/>
          <w:b/>
          <w:spacing w:val="-6"/>
          <w:sz w:val="21"/>
          <w:szCs w:val="21"/>
        </w:rPr>
      </w:pPr>
      <w:r>
        <w:rPr>
          <w:rFonts w:hint="eastAsia" w:ascii="宋体" w:hAnsi="宋体"/>
          <w:b/>
          <w:spacing w:val="-6"/>
          <w:sz w:val="21"/>
          <w:szCs w:val="21"/>
        </w:rPr>
        <w:t>4</w:t>
      </w:r>
      <w:r>
        <w:rPr>
          <w:rFonts w:ascii="宋体" w:hAnsi="宋体"/>
          <w:b/>
          <w:spacing w:val="-6"/>
          <w:sz w:val="21"/>
          <w:szCs w:val="21"/>
        </w:rPr>
        <w:t>.</w:t>
      </w:r>
      <w:r>
        <w:rPr>
          <w:rFonts w:hint="eastAsia" w:ascii="宋体" w:hAnsi="宋体"/>
          <w:b/>
          <w:spacing w:val="-6"/>
          <w:sz w:val="21"/>
          <w:szCs w:val="21"/>
        </w:rPr>
        <w:t>有下列情形之一的，视为投标人串通投标，其投标无效：</w:t>
      </w:r>
    </w:p>
    <w:p>
      <w:pPr>
        <w:widowControl/>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（1）不同投标人的投标文件由同一单位或者个人编制；</w:t>
      </w:r>
    </w:p>
    <w:p>
      <w:pPr>
        <w:widowControl/>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（2）不同投标人委托同一单位或者个人办理投标事宜；</w:t>
      </w:r>
    </w:p>
    <w:p>
      <w:pPr>
        <w:widowControl/>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（3）不同投标人的投标文件载明的项目管理成员或者联系人员为同一人；</w:t>
      </w:r>
    </w:p>
    <w:p>
      <w:pPr>
        <w:widowControl/>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（4）不同投标人的投标文件异常一致或者投标报价呈规律性差异；</w:t>
      </w:r>
    </w:p>
    <w:p>
      <w:pPr>
        <w:widowControl/>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（5）不同投标人的投标文件相互混装。</w:t>
      </w:r>
    </w:p>
    <w:p>
      <w:pPr>
        <w:widowControl/>
        <w:adjustRightInd w:val="0"/>
        <w:snapToGrid w:val="0"/>
        <w:spacing w:line="288" w:lineRule="auto"/>
        <w:ind w:firstLine="398" w:firstLineChars="200"/>
        <w:jc w:val="center"/>
        <w:outlineLvl w:val="1"/>
        <w:rPr>
          <w:rFonts w:ascii="宋体" w:hAnsi="宋体"/>
          <w:b/>
          <w:spacing w:val="-6"/>
          <w:sz w:val="21"/>
          <w:szCs w:val="21"/>
        </w:rPr>
      </w:pPr>
      <w:r>
        <w:rPr>
          <w:rFonts w:ascii="宋体" w:hAnsi="宋体"/>
          <w:b/>
          <w:spacing w:val="-6"/>
          <w:sz w:val="21"/>
          <w:szCs w:val="21"/>
        </w:rPr>
        <w:br w:type="page"/>
      </w:r>
      <w:r>
        <w:rPr>
          <w:rFonts w:hint="eastAsia" w:ascii="宋体" w:hAnsi="宋体"/>
          <w:b/>
          <w:spacing w:val="-6"/>
          <w:sz w:val="21"/>
          <w:szCs w:val="21"/>
        </w:rPr>
        <w:t>五、开  标</w:t>
      </w:r>
    </w:p>
    <w:p>
      <w:pPr>
        <w:autoSpaceDE w:val="0"/>
        <w:autoSpaceDN w:val="0"/>
        <w:adjustRightInd w:val="0"/>
        <w:snapToGrid w:val="0"/>
        <w:spacing w:line="288" w:lineRule="auto"/>
        <w:rPr>
          <w:rFonts w:ascii="宋体" w:hAnsi="宋体" w:cs="仿宋_GB2312"/>
          <w:b/>
          <w:kern w:val="0"/>
          <w:sz w:val="21"/>
          <w:szCs w:val="21"/>
        </w:rPr>
      </w:pPr>
      <w:r>
        <w:rPr>
          <w:rFonts w:hint="eastAsia" w:ascii="宋体" w:hAnsi="宋体" w:cs="仿宋_GB2312"/>
          <w:b/>
          <w:kern w:val="0"/>
          <w:sz w:val="21"/>
          <w:szCs w:val="21"/>
        </w:rPr>
        <w:t>第一阶段</w:t>
      </w:r>
    </w:p>
    <w:p>
      <w:pPr>
        <w:autoSpaceDE w:val="0"/>
        <w:autoSpaceDN w:val="0"/>
        <w:adjustRightInd w:val="0"/>
        <w:snapToGrid w:val="0"/>
        <w:spacing w:line="288" w:lineRule="auto"/>
        <w:ind w:firstLine="424" w:firstLineChars="201"/>
        <w:rPr>
          <w:rFonts w:ascii="宋体" w:hAnsi="宋体"/>
          <w:kern w:val="0"/>
          <w:sz w:val="21"/>
          <w:szCs w:val="21"/>
        </w:rPr>
      </w:pPr>
      <w:r>
        <w:rPr>
          <w:rFonts w:hint="eastAsia" w:ascii="宋体" w:hAnsi="宋体" w:cs="仿宋_GB2312"/>
          <w:b/>
          <w:kern w:val="0"/>
          <w:sz w:val="21"/>
          <w:szCs w:val="21"/>
        </w:rPr>
        <w:t>（一）</w:t>
      </w:r>
      <w:r>
        <w:rPr>
          <w:rFonts w:ascii="宋体" w:hAnsi="宋体" w:cs="仿宋_GB2312"/>
          <w:b/>
          <w:kern w:val="0"/>
          <w:sz w:val="21"/>
          <w:szCs w:val="21"/>
        </w:rPr>
        <w:t>开标</w:t>
      </w:r>
    </w:p>
    <w:p>
      <w:pPr>
        <w:autoSpaceDE w:val="0"/>
        <w:autoSpaceDN w:val="0"/>
        <w:adjustRightInd w:val="0"/>
        <w:snapToGrid w:val="0"/>
        <w:spacing w:line="288" w:lineRule="auto"/>
        <w:ind w:firstLine="422" w:firstLineChars="201"/>
        <w:rPr>
          <w:rFonts w:ascii="宋体" w:hAnsi="宋体" w:cs="仿宋_GB2312"/>
          <w:kern w:val="0"/>
          <w:sz w:val="21"/>
          <w:szCs w:val="21"/>
        </w:rPr>
      </w:pPr>
      <w:r>
        <w:rPr>
          <w:rFonts w:hint="eastAsia" w:ascii="宋体" w:hAnsi="宋体" w:cs="仿宋_GB2312"/>
          <w:kern w:val="0"/>
          <w:sz w:val="21"/>
          <w:szCs w:val="21"/>
        </w:rPr>
        <w:t>采购代理机构按照招标文件规定的时间、地点和程序组织开标，开标采取先拆封资格文件、商务和技术文件、后拆封报价文件的顺序进行</w:t>
      </w:r>
      <w:r>
        <w:rPr>
          <w:rFonts w:ascii="宋体" w:hAnsi="宋体" w:cs="仿宋_GB2312"/>
          <w:kern w:val="0"/>
          <w:sz w:val="21"/>
          <w:szCs w:val="21"/>
        </w:rPr>
        <w:t>。投标人不足3家的，不得开标。</w:t>
      </w:r>
    </w:p>
    <w:p>
      <w:pPr>
        <w:widowControl/>
        <w:adjustRightInd w:val="0"/>
        <w:snapToGrid w:val="0"/>
        <w:spacing w:line="288" w:lineRule="auto"/>
        <w:ind w:firstLine="424" w:firstLineChars="201"/>
        <w:jc w:val="left"/>
        <w:rPr>
          <w:rFonts w:ascii="宋体" w:hAnsi="宋体" w:cs="仿宋_GB2312"/>
          <w:b/>
          <w:sz w:val="21"/>
          <w:szCs w:val="21"/>
        </w:rPr>
      </w:pPr>
      <w:r>
        <w:rPr>
          <w:rFonts w:hint="eastAsia" w:ascii="宋体" w:hAnsi="宋体" w:cs="仿宋_GB2312"/>
          <w:b/>
          <w:sz w:val="21"/>
          <w:szCs w:val="21"/>
        </w:rPr>
        <w:t>（二）</w:t>
      </w:r>
      <w:r>
        <w:rPr>
          <w:rFonts w:ascii="宋体" w:hAnsi="宋体" w:cs="仿宋_GB2312"/>
          <w:b/>
          <w:sz w:val="21"/>
          <w:szCs w:val="21"/>
        </w:rPr>
        <w:t>资格审查</w:t>
      </w:r>
    </w:p>
    <w:p>
      <w:pPr>
        <w:adjustRightInd w:val="0"/>
        <w:snapToGrid w:val="0"/>
        <w:spacing w:line="288" w:lineRule="auto"/>
        <w:ind w:firstLine="422" w:firstLineChars="201"/>
        <w:rPr>
          <w:rFonts w:ascii="宋体" w:hAnsi="宋体" w:cs="仿宋_GB2312"/>
          <w:sz w:val="21"/>
          <w:szCs w:val="21"/>
        </w:rPr>
      </w:pPr>
      <w:r>
        <w:rPr>
          <w:rFonts w:ascii="宋体" w:hAnsi="宋体" w:cs="Arial"/>
          <w:kern w:val="0"/>
          <w:sz w:val="21"/>
          <w:szCs w:val="21"/>
        </w:rPr>
        <w:t>开标后，</w:t>
      </w:r>
      <w:r>
        <w:rPr>
          <w:rFonts w:hint="eastAsia" w:ascii="宋体" w:hAnsi="宋体" w:cs="仿宋_GB2312"/>
          <w:sz w:val="21"/>
          <w:szCs w:val="21"/>
        </w:rPr>
        <w:t>采购人或采购机构依据法律法规和招标文件的规定，对投标人的资格条件进行审查。</w:t>
      </w:r>
    </w:p>
    <w:p>
      <w:pPr>
        <w:adjustRightInd w:val="0"/>
        <w:snapToGrid w:val="0"/>
        <w:spacing w:line="288" w:lineRule="auto"/>
        <w:ind w:firstLine="422" w:firstLineChars="201"/>
        <w:rPr>
          <w:rFonts w:ascii="宋体" w:hAnsi="宋体" w:cs="仿宋_GB2312"/>
          <w:sz w:val="21"/>
          <w:szCs w:val="21"/>
        </w:rPr>
      </w:pPr>
      <w:r>
        <w:rPr>
          <w:rFonts w:ascii="宋体" w:hAnsi="宋体" w:cs="仿宋_GB2312"/>
          <w:sz w:val="21"/>
          <w:szCs w:val="21"/>
        </w:rPr>
        <w:t>对未通过资格审查的投标人，采购人或采购机构告知其未通过的原因。</w:t>
      </w:r>
    </w:p>
    <w:p>
      <w:pPr>
        <w:adjustRightInd w:val="0"/>
        <w:snapToGrid w:val="0"/>
        <w:spacing w:line="288" w:lineRule="auto"/>
        <w:ind w:firstLine="422" w:firstLineChars="201"/>
        <w:rPr>
          <w:rFonts w:ascii="宋体" w:hAnsi="宋体" w:cs="仿宋_GB2312"/>
          <w:sz w:val="21"/>
          <w:szCs w:val="21"/>
        </w:rPr>
      </w:pPr>
      <w:r>
        <w:rPr>
          <w:rFonts w:ascii="宋体" w:hAnsi="宋体" w:cs="仿宋_GB2312"/>
          <w:sz w:val="21"/>
          <w:szCs w:val="21"/>
        </w:rPr>
        <w:t>通过资格审查的投标人不足3家的，不再评标。</w:t>
      </w:r>
    </w:p>
    <w:p>
      <w:pPr>
        <w:adjustRightInd w:val="0"/>
        <w:snapToGrid w:val="0"/>
        <w:spacing w:line="288" w:lineRule="auto"/>
        <w:ind w:firstLine="424" w:firstLineChars="201"/>
        <w:rPr>
          <w:rFonts w:ascii="宋体" w:hAnsi="宋体" w:cs="仿宋_GB2312"/>
          <w:b/>
          <w:sz w:val="21"/>
          <w:szCs w:val="21"/>
        </w:rPr>
      </w:pPr>
      <w:r>
        <w:rPr>
          <w:rFonts w:hint="eastAsia" w:ascii="宋体" w:hAnsi="宋体" w:cs="仿宋_GB2312"/>
          <w:b/>
          <w:sz w:val="21"/>
          <w:szCs w:val="21"/>
        </w:rPr>
        <w:t>（三）</w:t>
      </w:r>
      <w:r>
        <w:rPr>
          <w:rFonts w:ascii="宋体" w:hAnsi="宋体" w:cs="仿宋_GB2312"/>
          <w:b/>
          <w:sz w:val="21"/>
          <w:szCs w:val="21"/>
        </w:rPr>
        <w:t>信用信息查询</w:t>
      </w:r>
    </w:p>
    <w:p>
      <w:pPr>
        <w:pStyle w:val="75"/>
        <w:adjustRightInd w:val="0"/>
        <w:snapToGrid w:val="0"/>
        <w:spacing w:before="0" w:line="288" w:lineRule="auto"/>
        <w:ind w:firstLine="422" w:firstLineChars="201"/>
        <w:jc w:val="left"/>
        <w:rPr>
          <w:rFonts w:ascii="宋体" w:hAnsi="宋体" w:cs="Arial"/>
          <w:kern w:val="0"/>
          <w:sz w:val="21"/>
          <w:szCs w:val="21"/>
        </w:rPr>
      </w:pPr>
      <w:r>
        <w:rPr>
          <w:rFonts w:hint="eastAsia" w:ascii="宋体" w:hAnsi="宋体" w:cs="Arial"/>
          <w:kern w:val="0"/>
          <w:sz w:val="21"/>
          <w:szCs w:val="21"/>
        </w:rPr>
        <w:t>根据财库[2016]125号《关于在政府采购活动中查询及使用信用记录有关问题的通知》要求，采购代理机构会对投标人信用记录进行查询并甄别。信用信息查询的截止时点：投标截止时间；</w:t>
      </w:r>
    </w:p>
    <w:p>
      <w:pPr>
        <w:pStyle w:val="75"/>
        <w:adjustRightInd w:val="0"/>
        <w:snapToGrid w:val="0"/>
        <w:spacing w:before="0" w:line="288" w:lineRule="auto"/>
        <w:ind w:firstLine="422" w:firstLineChars="201"/>
        <w:jc w:val="left"/>
        <w:rPr>
          <w:rFonts w:ascii="宋体" w:hAnsi="宋体" w:cs="Arial"/>
          <w:kern w:val="0"/>
          <w:sz w:val="21"/>
          <w:szCs w:val="21"/>
        </w:rPr>
      </w:pPr>
      <w:r>
        <w:rPr>
          <w:rFonts w:hint="eastAsia" w:ascii="宋体" w:hAnsi="宋体" w:cs="Arial"/>
          <w:kern w:val="0"/>
          <w:sz w:val="21"/>
          <w:szCs w:val="21"/>
        </w:rPr>
        <w:t>（</w:t>
      </w:r>
      <w:r>
        <w:rPr>
          <w:rFonts w:ascii="宋体" w:hAnsi="宋体" w:cs="Arial"/>
          <w:kern w:val="0"/>
          <w:sz w:val="21"/>
          <w:szCs w:val="21"/>
        </w:rPr>
        <w:t>1）查询渠道：“信用中国”（www.creditchina.gov.cn）、“中国政府采购网”（www.ccgp.gov.cn）；</w:t>
      </w:r>
    </w:p>
    <w:p>
      <w:pPr>
        <w:pStyle w:val="75"/>
        <w:adjustRightInd w:val="0"/>
        <w:snapToGrid w:val="0"/>
        <w:spacing w:before="0" w:line="288" w:lineRule="auto"/>
        <w:ind w:firstLine="422" w:firstLineChars="201"/>
        <w:jc w:val="left"/>
        <w:rPr>
          <w:rFonts w:ascii="宋体" w:hAnsi="宋体" w:cs="Arial"/>
          <w:kern w:val="0"/>
          <w:sz w:val="21"/>
          <w:szCs w:val="21"/>
        </w:rPr>
      </w:pPr>
      <w:r>
        <w:rPr>
          <w:rFonts w:hint="eastAsia" w:ascii="宋体" w:hAnsi="宋体" w:cs="Arial"/>
          <w:kern w:val="0"/>
          <w:sz w:val="21"/>
          <w:szCs w:val="21"/>
        </w:rPr>
        <w:t>（</w:t>
      </w:r>
      <w:r>
        <w:rPr>
          <w:rFonts w:ascii="宋体" w:hAnsi="宋体" w:cs="Arial"/>
          <w:kern w:val="0"/>
          <w:sz w:val="21"/>
          <w:szCs w:val="21"/>
        </w:rPr>
        <w:t>2）信用信息查询记录和证据留存具体方式：采购代理机构经办人和监督人员将查询网页打印、签名与其他采购文件一并保存；</w:t>
      </w:r>
    </w:p>
    <w:p>
      <w:pPr>
        <w:pStyle w:val="75"/>
        <w:adjustRightInd w:val="0"/>
        <w:snapToGrid w:val="0"/>
        <w:spacing w:before="0" w:line="288" w:lineRule="auto"/>
        <w:ind w:firstLine="422" w:firstLineChars="201"/>
        <w:jc w:val="left"/>
        <w:rPr>
          <w:rFonts w:ascii="宋体" w:hAnsi="宋体" w:cs="Arial"/>
          <w:kern w:val="0"/>
          <w:sz w:val="21"/>
          <w:szCs w:val="21"/>
        </w:rPr>
      </w:pPr>
      <w:r>
        <w:rPr>
          <w:rFonts w:hint="eastAsia" w:ascii="宋体" w:hAnsi="宋体" w:cs="Arial"/>
          <w:kern w:val="0"/>
          <w:sz w:val="21"/>
          <w:szCs w:val="21"/>
        </w:rPr>
        <w:t>（</w:t>
      </w:r>
      <w:r>
        <w:rPr>
          <w:rFonts w:ascii="宋体" w:hAnsi="宋体" w:cs="Arial"/>
          <w:kern w:val="0"/>
          <w:sz w:val="21"/>
          <w:szCs w:val="21"/>
        </w:rPr>
        <w:t>3）信用信息的使用规则：投标人被列入失信被执行人、重大税收违法案件当事人名单、政府采购严重违法失信行为记录名单的，拒绝其参与政府采购活动。</w:t>
      </w:r>
    </w:p>
    <w:p>
      <w:pPr>
        <w:adjustRightInd w:val="0"/>
        <w:snapToGrid w:val="0"/>
        <w:spacing w:line="288" w:lineRule="auto"/>
        <w:ind w:firstLine="422" w:firstLineChars="201"/>
        <w:rPr>
          <w:rFonts w:ascii="宋体" w:hAnsi="宋体" w:cs="仿宋_GB2312"/>
          <w:sz w:val="21"/>
          <w:szCs w:val="21"/>
        </w:rPr>
      </w:pPr>
      <w:r>
        <w:rPr>
          <w:rFonts w:ascii="宋体" w:hAnsi="宋体" w:cs="Arial"/>
          <w:kern w:val="0"/>
          <w:sz w:val="21"/>
          <w:szCs w:val="21"/>
        </w:rPr>
        <w:t>联合体信用信息查询：两个以上的自然人、法人或者其他组织组成一个联合体，以一个供应商的身份共同参加政府采购活动的，应当对所有联合体成员进行信用记录查询，联合体成员存在不良信用记录的，视同联合体存在不良信用记录</w:t>
      </w:r>
      <w:r>
        <w:rPr>
          <w:rFonts w:hint="eastAsia" w:ascii="宋体" w:hAnsi="宋体" w:cs="仿宋_GB2312"/>
          <w:sz w:val="21"/>
          <w:szCs w:val="21"/>
        </w:rPr>
        <w:t>。</w:t>
      </w:r>
    </w:p>
    <w:p>
      <w:pPr>
        <w:adjustRightInd w:val="0"/>
        <w:snapToGrid w:val="0"/>
        <w:spacing w:line="288" w:lineRule="auto"/>
        <w:ind w:firstLine="422" w:firstLineChars="201"/>
        <w:rPr>
          <w:rFonts w:ascii="宋体" w:hAnsi="宋体" w:cs="仿宋_GB2312"/>
          <w:sz w:val="21"/>
          <w:szCs w:val="21"/>
        </w:rPr>
      </w:pPr>
    </w:p>
    <w:p>
      <w:pPr>
        <w:autoSpaceDE w:val="0"/>
        <w:autoSpaceDN w:val="0"/>
        <w:adjustRightInd w:val="0"/>
        <w:snapToGrid w:val="0"/>
        <w:spacing w:line="288" w:lineRule="auto"/>
        <w:rPr>
          <w:rFonts w:ascii="宋体" w:hAnsi="宋体" w:cs="仿宋_GB2312"/>
          <w:b/>
          <w:kern w:val="0"/>
          <w:sz w:val="21"/>
          <w:szCs w:val="21"/>
        </w:rPr>
      </w:pPr>
      <w:r>
        <w:rPr>
          <w:rFonts w:hint="eastAsia" w:ascii="宋体" w:hAnsi="宋体" w:cs="仿宋_GB2312"/>
          <w:b/>
          <w:kern w:val="0"/>
          <w:sz w:val="21"/>
          <w:szCs w:val="21"/>
        </w:rPr>
        <w:t>第二阶段</w:t>
      </w:r>
    </w:p>
    <w:p>
      <w:pPr>
        <w:adjustRightInd w:val="0"/>
        <w:snapToGrid w:val="0"/>
        <w:spacing w:line="288" w:lineRule="auto"/>
        <w:ind w:firstLine="424" w:firstLineChars="201"/>
        <w:rPr>
          <w:rFonts w:ascii="宋体" w:hAnsi="宋体" w:cs="仿宋_GB2312"/>
          <w:b/>
          <w:sz w:val="21"/>
          <w:szCs w:val="21"/>
        </w:rPr>
      </w:pPr>
      <w:r>
        <w:rPr>
          <w:rFonts w:hint="eastAsia" w:ascii="宋体" w:hAnsi="宋体" w:cs="仿宋_GB2312"/>
          <w:b/>
          <w:sz w:val="21"/>
          <w:szCs w:val="21"/>
        </w:rPr>
        <w:t>（一）开启报价</w:t>
      </w:r>
    </w:p>
    <w:p>
      <w:pPr>
        <w:pStyle w:val="11"/>
        <w:adjustRightInd w:val="0"/>
        <w:snapToGrid w:val="0"/>
        <w:spacing w:line="288" w:lineRule="auto"/>
        <w:ind w:firstLine="396" w:firstLineChars="200"/>
        <w:rPr>
          <w:rFonts w:hAnsi="宋体"/>
          <w:spacing w:val="-6"/>
          <w:sz w:val="21"/>
          <w:szCs w:val="21"/>
        </w:rPr>
      </w:pPr>
      <w:r>
        <w:rPr>
          <w:rFonts w:hAnsi="宋体"/>
          <w:spacing w:val="-6"/>
          <w:sz w:val="21"/>
          <w:szCs w:val="21"/>
        </w:rPr>
        <w:t>商务和技术评审结束后，</w:t>
      </w:r>
      <w:r>
        <w:rPr>
          <w:rFonts w:hint="eastAsia" w:hAnsi="宋体"/>
          <w:spacing w:val="-6"/>
          <w:sz w:val="21"/>
          <w:szCs w:val="21"/>
        </w:rPr>
        <w:t>宣告</w:t>
      </w:r>
      <w:r>
        <w:rPr>
          <w:rFonts w:hAnsi="宋体"/>
          <w:spacing w:val="-6"/>
          <w:sz w:val="21"/>
          <w:szCs w:val="21"/>
        </w:rPr>
        <w:t>商务和技术评审无效投标人名称及理由，投标人代表可收回未拆封的报价文件并签名确认；公布经商务和技术评审符合采购需求的投标人名单，采用综合评分法的，公布其商务和技术得分情况。</w:t>
      </w:r>
    </w:p>
    <w:p>
      <w:pPr>
        <w:pStyle w:val="11"/>
        <w:adjustRightInd w:val="0"/>
        <w:snapToGrid w:val="0"/>
        <w:spacing w:line="288" w:lineRule="auto"/>
        <w:ind w:firstLine="396" w:firstLineChars="200"/>
        <w:rPr>
          <w:rFonts w:hAnsi="宋体"/>
          <w:spacing w:val="-6"/>
          <w:sz w:val="21"/>
          <w:szCs w:val="21"/>
        </w:rPr>
      </w:pPr>
      <w:r>
        <w:rPr>
          <w:rFonts w:hAnsi="宋体"/>
          <w:spacing w:val="-6"/>
          <w:sz w:val="21"/>
          <w:szCs w:val="21"/>
        </w:rPr>
        <w:t>拆封投标人报价文件，宣读开标一览表有关内容，同时当场制作并打印开标记录表。唱标结束后，由评标委员会对报价</w:t>
      </w:r>
      <w:r>
        <w:rPr>
          <w:rFonts w:hint="eastAsia" w:hAnsi="宋体"/>
          <w:spacing w:val="-6"/>
          <w:sz w:val="21"/>
          <w:szCs w:val="21"/>
        </w:rPr>
        <w:t>进行评审</w:t>
      </w:r>
      <w:r>
        <w:rPr>
          <w:rFonts w:hAnsi="宋体"/>
          <w:spacing w:val="-6"/>
          <w:sz w:val="21"/>
          <w:szCs w:val="21"/>
        </w:rPr>
        <w:t>。</w:t>
      </w:r>
    </w:p>
    <w:p>
      <w:pPr>
        <w:pStyle w:val="11"/>
        <w:adjustRightInd w:val="0"/>
        <w:snapToGrid w:val="0"/>
        <w:spacing w:line="288" w:lineRule="auto"/>
        <w:ind w:firstLine="0"/>
        <w:rPr>
          <w:rFonts w:hAnsi="宋体"/>
          <w:sz w:val="21"/>
          <w:szCs w:val="21"/>
        </w:rPr>
      </w:pPr>
      <w:r>
        <w:rPr>
          <w:rFonts w:hAnsi="宋体"/>
          <w:b/>
          <w:spacing w:val="-6"/>
          <w:sz w:val="21"/>
          <w:szCs w:val="21"/>
        </w:rPr>
        <w:br w:type="page"/>
      </w:r>
    </w:p>
    <w:p>
      <w:pPr>
        <w:pStyle w:val="15"/>
        <w:adjustRightInd w:val="0"/>
        <w:snapToGrid w:val="0"/>
        <w:spacing w:beforeLines="0" w:afterLines="0" w:line="288" w:lineRule="auto"/>
        <w:jc w:val="center"/>
        <w:outlineLvl w:val="1"/>
        <w:rPr>
          <w:rFonts w:hAnsi="宋体"/>
          <w:b/>
          <w:spacing w:val="-6"/>
          <w:sz w:val="21"/>
          <w:szCs w:val="21"/>
        </w:rPr>
      </w:pPr>
      <w:r>
        <w:rPr>
          <w:rFonts w:hint="eastAsia" w:hAnsi="宋体"/>
          <w:b/>
          <w:spacing w:val="-6"/>
          <w:sz w:val="21"/>
          <w:szCs w:val="21"/>
        </w:rPr>
        <w:t>六、评  标</w:t>
      </w:r>
    </w:p>
    <w:p>
      <w:pPr>
        <w:adjustRightInd w:val="0"/>
        <w:snapToGrid w:val="0"/>
        <w:spacing w:line="288" w:lineRule="auto"/>
        <w:ind w:firstLine="420" w:firstLineChars="200"/>
        <w:rPr>
          <w:rFonts w:ascii="宋体" w:hAnsi="宋体" w:cs="宋体"/>
          <w:kern w:val="0"/>
          <w:sz w:val="21"/>
          <w:szCs w:val="21"/>
        </w:rPr>
      </w:pPr>
      <w:bookmarkStart w:id="44" w:name="_Hlk94018958"/>
      <w:r>
        <w:rPr>
          <w:rFonts w:ascii="宋体" w:hAnsi="宋体" w:cs="宋体"/>
          <w:kern w:val="0"/>
          <w:sz w:val="21"/>
          <w:szCs w:val="21"/>
        </w:rPr>
        <w:t>评标委员会成员应当按照客观、公正、审慎的原则，根据招标文件规定的评标程序、评标方法和评标标准进行独立评审。招标文件内容违反国家有关强制性规定的，评标委员会应当停止评标并向采购人或者采购代理机构说明情况。</w:t>
      </w:r>
    </w:p>
    <w:p>
      <w:pPr>
        <w:adjustRightInd w:val="0"/>
        <w:snapToGrid w:val="0"/>
        <w:spacing w:line="288" w:lineRule="auto"/>
        <w:ind w:firstLine="420" w:firstLineChars="200"/>
        <w:rPr>
          <w:rFonts w:ascii="宋体" w:hAnsi="宋体" w:cs="宋体"/>
          <w:kern w:val="0"/>
          <w:sz w:val="21"/>
          <w:szCs w:val="21"/>
        </w:rPr>
      </w:pPr>
      <w:r>
        <w:rPr>
          <w:rFonts w:ascii="宋体" w:hAnsi="宋体" w:cs="宋体"/>
          <w:kern w:val="0"/>
          <w:sz w:val="21"/>
          <w:szCs w:val="21"/>
        </w:rPr>
        <w:t>评标中因评标委员会成员缺席、回避或者健康等特殊原因导致评标委员会组成不符合规定的，依法补足后继续评标。被更换的评标委员会成员所作出的评标意见无效。</w:t>
      </w:r>
    </w:p>
    <w:bookmarkEnd w:id="44"/>
    <w:p>
      <w:pPr>
        <w:adjustRightInd w:val="0"/>
        <w:snapToGrid w:val="0"/>
        <w:spacing w:line="288" w:lineRule="auto"/>
        <w:ind w:firstLine="426" w:firstLineChars="202"/>
        <w:rPr>
          <w:rFonts w:ascii="宋体" w:hAnsi="宋体" w:cs="Arial"/>
          <w:b/>
          <w:kern w:val="0"/>
          <w:sz w:val="21"/>
          <w:szCs w:val="21"/>
        </w:rPr>
      </w:pPr>
      <w:bookmarkStart w:id="45" w:name="_Hlk94019000"/>
      <w:r>
        <w:rPr>
          <w:rFonts w:hint="eastAsia" w:ascii="宋体" w:hAnsi="宋体" w:cs="Arial"/>
          <w:b/>
          <w:kern w:val="0"/>
          <w:sz w:val="21"/>
          <w:szCs w:val="21"/>
        </w:rPr>
        <w:t>（一）</w:t>
      </w:r>
      <w:r>
        <w:rPr>
          <w:rFonts w:ascii="宋体" w:hAnsi="宋体" w:cs="Arial"/>
          <w:b/>
          <w:kern w:val="0"/>
          <w:sz w:val="21"/>
          <w:szCs w:val="21"/>
        </w:rPr>
        <w:t>符合性审查</w:t>
      </w:r>
    </w:p>
    <w:p>
      <w:pPr>
        <w:adjustRightInd w:val="0"/>
        <w:snapToGrid w:val="0"/>
        <w:spacing w:line="288" w:lineRule="auto"/>
        <w:ind w:firstLine="424" w:firstLineChars="202"/>
        <w:rPr>
          <w:rFonts w:ascii="宋体" w:hAnsi="宋体" w:cs="Arial"/>
          <w:kern w:val="0"/>
          <w:sz w:val="21"/>
          <w:szCs w:val="21"/>
        </w:rPr>
      </w:pPr>
      <w:r>
        <w:rPr>
          <w:rFonts w:ascii="宋体" w:hAnsi="宋体" w:cs="Arial"/>
          <w:kern w:val="0"/>
          <w:sz w:val="21"/>
          <w:szCs w:val="21"/>
        </w:rPr>
        <w:t>评标委员会对符合资格的投标人的投标文件进行符合性审查，以确定其是否满足招标文件的实质性要求。</w:t>
      </w:r>
      <w:r>
        <w:rPr>
          <w:rFonts w:hint="eastAsia" w:ascii="宋体" w:hAnsi="宋体" w:cs="Arial"/>
          <w:kern w:val="0"/>
          <w:sz w:val="21"/>
          <w:szCs w:val="21"/>
        </w:rPr>
        <w:t>不</w:t>
      </w:r>
      <w:r>
        <w:rPr>
          <w:rFonts w:ascii="宋体" w:hAnsi="宋体" w:cs="Arial"/>
          <w:kern w:val="0"/>
          <w:sz w:val="21"/>
          <w:szCs w:val="21"/>
        </w:rPr>
        <w:t>满足招标文件的实质性要求</w:t>
      </w:r>
      <w:r>
        <w:rPr>
          <w:rFonts w:hint="eastAsia" w:ascii="宋体" w:hAnsi="宋体" w:cs="Arial"/>
          <w:kern w:val="0"/>
          <w:sz w:val="21"/>
          <w:szCs w:val="21"/>
        </w:rPr>
        <w:t>的，投标无效。</w:t>
      </w:r>
    </w:p>
    <w:p>
      <w:pPr>
        <w:adjustRightInd w:val="0"/>
        <w:snapToGrid w:val="0"/>
        <w:spacing w:line="288" w:lineRule="auto"/>
        <w:ind w:firstLine="426" w:firstLineChars="202"/>
        <w:rPr>
          <w:rFonts w:ascii="宋体" w:hAnsi="宋体" w:cs="Arial"/>
          <w:b/>
          <w:kern w:val="0"/>
          <w:sz w:val="21"/>
          <w:szCs w:val="21"/>
        </w:rPr>
      </w:pPr>
      <w:r>
        <w:rPr>
          <w:rFonts w:hint="eastAsia" w:ascii="宋体" w:hAnsi="宋体" w:cs="Arial"/>
          <w:b/>
          <w:kern w:val="0"/>
          <w:sz w:val="21"/>
          <w:szCs w:val="21"/>
        </w:rPr>
        <w:t>（二）比较与评价</w:t>
      </w:r>
    </w:p>
    <w:p>
      <w:pPr>
        <w:adjustRightInd w:val="0"/>
        <w:snapToGrid w:val="0"/>
        <w:spacing w:line="288" w:lineRule="auto"/>
        <w:ind w:firstLine="424" w:firstLineChars="202"/>
        <w:rPr>
          <w:rFonts w:ascii="宋体" w:hAnsi="宋体" w:cs="Arial"/>
          <w:kern w:val="0"/>
          <w:sz w:val="21"/>
          <w:szCs w:val="21"/>
        </w:rPr>
      </w:pPr>
      <w:r>
        <w:rPr>
          <w:rFonts w:ascii="宋体" w:hAnsi="宋体" w:cs="Arial"/>
          <w:kern w:val="0"/>
          <w:sz w:val="21"/>
          <w:szCs w:val="21"/>
        </w:rPr>
        <w:t>评标委员会按照招标文件中规定的评标方法和标准，对符合性审查合格的投标文件进行商务和技术评估，综合比较与评价。</w:t>
      </w:r>
    </w:p>
    <w:p>
      <w:pPr>
        <w:adjustRightInd w:val="0"/>
        <w:snapToGrid w:val="0"/>
        <w:spacing w:line="288" w:lineRule="auto"/>
        <w:ind w:firstLine="424" w:firstLineChars="202"/>
        <w:rPr>
          <w:rFonts w:ascii="宋体" w:hAnsi="宋体" w:cs="Arial"/>
          <w:kern w:val="0"/>
          <w:sz w:val="21"/>
          <w:szCs w:val="21"/>
        </w:rPr>
      </w:pPr>
      <w:r>
        <w:rPr>
          <w:rFonts w:hint="eastAsia" w:ascii="宋体" w:hAnsi="宋体" w:cs="Arial"/>
          <w:kern w:val="0"/>
          <w:sz w:val="21"/>
          <w:szCs w:val="21"/>
        </w:rPr>
        <w:t>现场监督员如发现分值汇总计算错误、分项评分超出评分标准范围、客观评分不一致以及存在评分畸高、畸低情形的，应由相关人员当场改正或作出说明；拒不改正又不作说明的，由现场监督员如实记载后存入项目档案资料。</w:t>
      </w:r>
    </w:p>
    <w:p>
      <w:pPr>
        <w:adjustRightInd w:val="0"/>
        <w:snapToGrid w:val="0"/>
        <w:spacing w:line="288" w:lineRule="auto"/>
        <w:ind w:firstLine="426" w:firstLineChars="202"/>
        <w:rPr>
          <w:rFonts w:ascii="宋体" w:hAnsi="宋体" w:cs="Arial"/>
          <w:b/>
          <w:kern w:val="0"/>
          <w:sz w:val="21"/>
          <w:szCs w:val="21"/>
        </w:rPr>
      </w:pPr>
      <w:r>
        <w:rPr>
          <w:rFonts w:hint="eastAsia" w:ascii="宋体" w:hAnsi="宋体" w:cs="Arial"/>
          <w:b/>
          <w:kern w:val="0"/>
          <w:sz w:val="21"/>
          <w:szCs w:val="21"/>
        </w:rPr>
        <w:t>（三）</w:t>
      </w:r>
      <w:r>
        <w:rPr>
          <w:rFonts w:ascii="宋体" w:hAnsi="宋体" w:cs="Arial"/>
          <w:b/>
          <w:kern w:val="0"/>
          <w:sz w:val="21"/>
          <w:szCs w:val="21"/>
        </w:rPr>
        <w:t>汇总商务技术得分</w:t>
      </w:r>
    </w:p>
    <w:p>
      <w:pPr>
        <w:adjustRightInd w:val="0"/>
        <w:snapToGrid w:val="0"/>
        <w:spacing w:line="288" w:lineRule="auto"/>
        <w:ind w:firstLine="424" w:firstLineChars="202"/>
        <w:rPr>
          <w:rFonts w:ascii="宋体" w:hAnsi="宋体" w:cs="Arial"/>
          <w:kern w:val="0"/>
          <w:sz w:val="21"/>
          <w:szCs w:val="21"/>
        </w:rPr>
      </w:pPr>
      <w:r>
        <w:rPr>
          <w:rFonts w:hint="eastAsia" w:ascii="宋体" w:hAnsi="宋体" w:cs="Arial"/>
          <w:kern w:val="0"/>
          <w:sz w:val="21"/>
          <w:szCs w:val="21"/>
        </w:rPr>
        <w:t>评标委员会各成员独立对每个投标人的商务和技术文件进行评价，并汇总商务技术得分情况。</w:t>
      </w:r>
    </w:p>
    <w:p>
      <w:pPr>
        <w:adjustRightInd w:val="0"/>
        <w:snapToGrid w:val="0"/>
        <w:spacing w:line="288" w:lineRule="auto"/>
        <w:ind w:firstLine="426" w:firstLineChars="202"/>
        <w:rPr>
          <w:rFonts w:ascii="宋体" w:hAnsi="宋体" w:cs="Arial"/>
          <w:b/>
          <w:kern w:val="0"/>
          <w:sz w:val="21"/>
          <w:szCs w:val="21"/>
        </w:rPr>
      </w:pPr>
      <w:r>
        <w:rPr>
          <w:rFonts w:hint="eastAsia" w:ascii="宋体" w:hAnsi="宋体" w:cs="Arial"/>
          <w:b/>
          <w:kern w:val="0"/>
          <w:sz w:val="21"/>
          <w:szCs w:val="21"/>
        </w:rPr>
        <w:t>（四）</w:t>
      </w:r>
      <w:r>
        <w:rPr>
          <w:rFonts w:ascii="宋体" w:hAnsi="宋体" w:cs="Arial"/>
          <w:b/>
          <w:kern w:val="0"/>
          <w:sz w:val="21"/>
          <w:szCs w:val="21"/>
        </w:rPr>
        <w:t>报价评审</w:t>
      </w:r>
    </w:p>
    <w:p>
      <w:pPr>
        <w:adjustRightInd w:val="0"/>
        <w:snapToGrid w:val="0"/>
        <w:spacing w:line="288" w:lineRule="auto"/>
        <w:ind w:firstLine="424" w:firstLineChars="202"/>
        <w:rPr>
          <w:rFonts w:ascii="宋体" w:hAnsi="宋体" w:cs="Arial"/>
          <w:bCs/>
          <w:kern w:val="0"/>
          <w:sz w:val="21"/>
          <w:szCs w:val="21"/>
        </w:rPr>
      </w:pPr>
      <w:r>
        <w:rPr>
          <w:rFonts w:ascii="宋体" w:hAnsi="宋体" w:cs="Arial"/>
          <w:bCs/>
          <w:kern w:val="0"/>
          <w:sz w:val="21"/>
          <w:szCs w:val="21"/>
        </w:rPr>
        <w:t>投标文件报价出现前后不一致的，按照下列规定修正：</w:t>
      </w:r>
    </w:p>
    <w:p>
      <w:pPr>
        <w:adjustRightInd w:val="0"/>
        <w:snapToGrid w:val="0"/>
        <w:spacing w:line="288" w:lineRule="auto"/>
        <w:ind w:firstLine="424" w:firstLineChars="202"/>
        <w:rPr>
          <w:rFonts w:ascii="宋体" w:hAnsi="宋体" w:cs="仿宋"/>
          <w:kern w:val="0"/>
          <w:sz w:val="21"/>
          <w:szCs w:val="21"/>
        </w:rPr>
      </w:pPr>
      <w:r>
        <w:rPr>
          <w:rFonts w:ascii="宋体" w:hAnsi="宋体" w:cs="仿宋"/>
          <w:kern w:val="0"/>
          <w:sz w:val="21"/>
          <w:szCs w:val="21"/>
        </w:rPr>
        <w:t>投标文件中开标一览表(报价表)内容与投标文件中相应内容不一致的，以开标一览表(报价表)为准；</w:t>
      </w:r>
    </w:p>
    <w:p>
      <w:pPr>
        <w:adjustRightInd w:val="0"/>
        <w:snapToGrid w:val="0"/>
        <w:spacing w:line="288" w:lineRule="auto"/>
        <w:ind w:firstLine="424" w:firstLineChars="202"/>
        <w:rPr>
          <w:rFonts w:ascii="宋体" w:hAnsi="宋体" w:cs="仿宋"/>
          <w:kern w:val="0"/>
          <w:sz w:val="21"/>
          <w:szCs w:val="21"/>
        </w:rPr>
      </w:pPr>
      <w:r>
        <w:rPr>
          <w:rFonts w:ascii="宋体" w:hAnsi="宋体" w:cs="仿宋"/>
          <w:kern w:val="0"/>
          <w:sz w:val="21"/>
          <w:szCs w:val="21"/>
        </w:rPr>
        <w:t>大写金额和小写金额不一致的，以大写金额为准；</w:t>
      </w:r>
    </w:p>
    <w:p>
      <w:pPr>
        <w:adjustRightInd w:val="0"/>
        <w:snapToGrid w:val="0"/>
        <w:spacing w:line="288" w:lineRule="auto"/>
        <w:ind w:firstLine="424" w:firstLineChars="202"/>
        <w:rPr>
          <w:rFonts w:ascii="宋体" w:hAnsi="宋体" w:cs="仿宋"/>
          <w:kern w:val="0"/>
          <w:sz w:val="21"/>
          <w:szCs w:val="21"/>
        </w:rPr>
      </w:pPr>
      <w:r>
        <w:rPr>
          <w:rFonts w:ascii="宋体" w:hAnsi="宋体" w:cs="仿宋"/>
          <w:kern w:val="0"/>
          <w:sz w:val="21"/>
          <w:szCs w:val="21"/>
        </w:rPr>
        <w:t>单价金额小数点或者百分比有明显错位的，以开标一览表的总价为准，并修改单价；</w:t>
      </w:r>
    </w:p>
    <w:p>
      <w:pPr>
        <w:adjustRightInd w:val="0"/>
        <w:snapToGrid w:val="0"/>
        <w:spacing w:line="288" w:lineRule="auto"/>
        <w:ind w:firstLine="424" w:firstLineChars="202"/>
        <w:rPr>
          <w:rFonts w:ascii="宋体" w:hAnsi="宋体" w:cs="仿宋"/>
          <w:kern w:val="0"/>
          <w:sz w:val="21"/>
          <w:szCs w:val="21"/>
        </w:rPr>
      </w:pPr>
      <w:r>
        <w:rPr>
          <w:rFonts w:ascii="宋体" w:hAnsi="宋体" w:cs="仿宋"/>
          <w:kern w:val="0"/>
          <w:sz w:val="21"/>
          <w:szCs w:val="21"/>
        </w:rPr>
        <w:t>总价金额与按单价汇总金额不一致的，以单价金额计算结果为准。</w:t>
      </w:r>
    </w:p>
    <w:p>
      <w:pPr>
        <w:adjustRightInd w:val="0"/>
        <w:snapToGrid w:val="0"/>
        <w:spacing w:line="288" w:lineRule="auto"/>
        <w:ind w:firstLine="424" w:firstLineChars="202"/>
        <w:rPr>
          <w:rFonts w:ascii="宋体" w:hAnsi="宋体" w:cs="仿宋"/>
          <w:kern w:val="0"/>
          <w:sz w:val="21"/>
          <w:szCs w:val="21"/>
        </w:rPr>
      </w:pPr>
      <w:r>
        <w:rPr>
          <w:rFonts w:ascii="宋体" w:hAnsi="宋体" w:cs="仿宋"/>
          <w:kern w:val="0"/>
          <w:sz w:val="21"/>
          <w:szCs w:val="21"/>
        </w:rPr>
        <w:t>同时出现两种以上不一致的，按照</w:t>
      </w:r>
      <w:r>
        <w:rPr>
          <w:rFonts w:hint="eastAsia" w:ascii="宋体" w:hAnsi="宋体" w:cs="仿宋"/>
          <w:kern w:val="0"/>
          <w:sz w:val="21"/>
          <w:szCs w:val="21"/>
        </w:rPr>
        <w:t>前款规定的顺序修正。修正后的报价按照财政部第</w:t>
      </w:r>
      <w:r>
        <w:rPr>
          <w:rFonts w:ascii="宋体" w:hAnsi="宋体" w:cs="仿宋"/>
          <w:kern w:val="0"/>
          <w:sz w:val="21"/>
          <w:szCs w:val="21"/>
        </w:rPr>
        <w:t>87号令</w:t>
      </w:r>
      <w:r>
        <w:rPr>
          <w:rFonts w:hint="eastAsia" w:ascii="宋体" w:hAnsi="宋体" w:cs="仿宋"/>
          <w:kern w:val="0"/>
          <w:sz w:val="21"/>
          <w:szCs w:val="21"/>
        </w:rPr>
        <w:t>《政府采购货物和服务招标投标管理办法》第五十一条第二款的规定“投标人的澄清、说明或者补正应当采用书面形式，并加盖公章，或者由投标人代表签名。投标人的澄清、说明或者补正不得超出投标文件的范围或者改变投标文件的实质性内容。”经投标人确认后产生约束力。投标人不确认的，其投标无效。</w:t>
      </w:r>
    </w:p>
    <w:p>
      <w:pPr>
        <w:adjustRightInd w:val="0"/>
        <w:snapToGrid w:val="0"/>
        <w:spacing w:line="288" w:lineRule="auto"/>
        <w:ind w:firstLine="424" w:firstLineChars="202"/>
        <w:rPr>
          <w:rFonts w:ascii="宋体" w:hAnsi="宋体" w:cs="仿宋"/>
          <w:kern w:val="0"/>
          <w:sz w:val="21"/>
          <w:szCs w:val="21"/>
        </w:rPr>
      </w:pPr>
      <w:r>
        <w:rPr>
          <w:rFonts w:hint="eastAsia" w:ascii="宋体" w:hAnsi="宋体" w:cs="仿宋"/>
          <w:kern w:val="0"/>
          <w:sz w:val="21"/>
          <w:szCs w:val="21"/>
        </w:rPr>
        <w:t>投标人收到修正确认文件后，在规定时间内未做出回复的，视为不确认。</w:t>
      </w:r>
    </w:p>
    <w:p>
      <w:pPr>
        <w:adjustRightInd w:val="0"/>
        <w:snapToGrid w:val="0"/>
        <w:spacing w:line="288" w:lineRule="auto"/>
        <w:ind w:firstLine="426" w:firstLineChars="202"/>
        <w:rPr>
          <w:rFonts w:ascii="宋体" w:hAnsi="宋体" w:cs="Arial"/>
          <w:b/>
          <w:kern w:val="0"/>
          <w:sz w:val="21"/>
          <w:szCs w:val="21"/>
        </w:rPr>
      </w:pPr>
      <w:r>
        <w:rPr>
          <w:rFonts w:hint="eastAsia" w:ascii="宋体" w:hAnsi="宋体" w:cs="Arial"/>
          <w:b/>
          <w:kern w:val="0"/>
          <w:sz w:val="21"/>
          <w:szCs w:val="21"/>
        </w:rPr>
        <w:t>（五）投标人澄清、说明或者补正</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对于投标文件中含义不明确、同类问题表述不一致或者有明显文字和计算错误的内容，评标委员会应当以书面形式要求投标人作出必要的澄清、说明或者补正。</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投标人的澄清、说明或者补正应当采用书面形式，并加盖公章，或者由投标人代表签名。投标人的澄清、说明或者补正不得超出投标文件的范围或者改变投标文件的实质性内容。</w:t>
      </w:r>
    </w:p>
    <w:p>
      <w:pPr>
        <w:adjustRightInd w:val="0"/>
        <w:snapToGrid w:val="0"/>
        <w:spacing w:line="288" w:lineRule="auto"/>
        <w:ind w:firstLine="420" w:firstLineChars="200"/>
        <w:rPr>
          <w:rFonts w:ascii="宋体" w:hAnsi="宋体" w:cs="宋体"/>
          <w:kern w:val="0"/>
          <w:sz w:val="21"/>
          <w:szCs w:val="21"/>
        </w:rPr>
      </w:pPr>
      <w:r>
        <w:rPr>
          <w:rFonts w:hint="eastAsia" w:ascii="宋体" w:hAnsi="宋体" w:cs="宋体"/>
          <w:kern w:val="0"/>
          <w:sz w:val="21"/>
          <w:szCs w:val="21"/>
        </w:rPr>
        <w:t>投标人的书面澄清、说明或者补正可在规定时间内（不少于半小时）通过指定的电子邮箱（zb02@qszb.net</w:t>
      </w:r>
      <w:r>
        <w:rPr>
          <w:rFonts w:ascii="宋体" w:hAnsi="宋体" w:cs="宋体"/>
          <w:kern w:val="0"/>
          <w:sz w:val="21"/>
          <w:szCs w:val="21"/>
        </w:rPr>
        <w:t>）或传真号码（0571-87666116）提交。</w:t>
      </w:r>
    </w:p>
    <w:p>
      <w:pPr>
        <w:adjustRightInd w:val="0"/>
        <w:snapToGrid w:val="0"/>
        <w:spacing w:line="288" w:lineRule="auto"/>
        <w:ind w:firstLine="426" w:firstLineChars="202"/>
        <w:rPr>
          <w:rFonts w:ascii="宋体" w:hAnsi="宋体" w:cs="Arial"/>
          <w:b/>
          <w:kern w:val="0"/>
          <w:sz w:val="21"/>
          <w:szCs w:val="21"/>
        </w:rPr>
      </w:pPr>
      <w:r>
        <w:rPr>
          <w:rFonts w:hint="eastAsia" w:ascii="宋体" w:hAnsi="宋体" w:cs="Arial"/>
          <w:b/>
          <w:kern w:val="0"/>
          <w:sz w:val="21"/>
          <w:szCs w:val="21"/>
        </w:rPr>
        <w:t>（六）排序与推荐</w:t>
      </w:r>
    </w:p>
    <w:p>
      <w:pPr>
        <w:adjustRightInd w:val="0"/>
        <w:snapToGrid w:val="0"/>
        <w:spacing w:line="288" w:lineRule="auto"/>
        <w:ind w:firstLine="424" w:firstLineChars="202"/>
        <w:rPr>
          <w:rFonts w:ascii="宋体" w:hAnsi="宋体" w:cs="Arial"/>
          <w:kern w:val="0"/>
          <w:sz w:val="21"/>
          <w:szCs w:val="21"/>
        </w:rPr>
      </w:pPr>
      <w:r>
        <w:rPr>
          <w:rFonts w:hint="eastAsia" w:ascii="宋体" w:hAnsi="宋体" w:cs="Arial"/>
          <w:kern w:val="0"/>
          <w:sz w:val="21"/>
          <w:szCs w:val="21"/>
        </w:rPr>
        <w:t>评标方法：本项目评标方法是综合评分法，具体评标方法和评标标准详见“第四章：评标方法和评标标准”。</w:t>
      </w:r>
    </w:p>
    <w:p>
      <w:pPr>
        <w:adjustRightInd w:val="0"/>
        <w:snapToGrid w:val="0"/>
        <w:spacing w:line="288" w:lineRule="auto"/>
        <w:ind w:firstLine="424" w:firstLineChars="202"/>
        <w:rPr>
          <w:rFonts w:ascii="宋体" w:hAnsi="宋体" w:cs="Arial"/>
          <w:kern w:val="0"/>
          <w:sz w:val="21"/>
          <w:szCs w:val="21"/>
          <w:highlight w:val="cyan"/>
        </w:rPr>
      </w:pPr>
      <w:r>
        <w:rPr>
          <w:rFonts w:ascii="宋体" w:hAnsi="宋体" w:cs="Arial"/>
          <w:kern w:val="0"/>
          <w:sz w:val="21"/>
          <w:szCs w:val="21"/>
        </w:rPr>
        <w:t>评标结果按评审后得分由高到低顺序排列。得分相同的，按投标报价由低到高顺序排列。得分且投标报价相同的并列。投标文件满足招标文件全部实质性要求，且按照评审因素的量化指标评审得分最高的投标人为排名第一的中标候选人</w:t>
      </w:r>
      <w:r>
        <w:rPr>
          <w:rFonts w:hint="eastAsia" w:ascii="宋体" w:hAnsi="宋体" w:cs="Arial"/>
          <w:kern w:val="0"/>
          <w:sz w:val="21"/>
          <w:szCs w:val="21"/>
        </w:rPr>
        <w:t>。本项目推荐1名中标候选人。</w:t>
      </w:r>
    </w:p>
    <w:p>
      <w:pPr>
        <w:adjustRightInd w:val="0"/>
        <w:snapToGrid w:val="0"/>
        <w:spacing w:line="288" w:lineRule="auto"/>
        <w:ind w:firstLine="424" w:firstLineChars="202"/>
        <w:rPr>
          <w:rFonts w:ascii="宋体" w:hAnsi="宋体" w:cs="Arial"/>
          <w:kern w:val="0"/>
          <w:sz w:val="21"/>
          <w:szCs w:val="21"/>
        </w:rPr>
      </w:pPr>
      <w:r>
        <w:rPr>
          <w:rFonts w:hint="eastAsia" w:ascii="宋体" w:hAnsi="宋体" w:cs="Arial"/>
          <w:kern w:val="0"/>
          <w:sz w:val="21"/>
          <w:szCs w:val="21"/>
        </w:rPr>
        <w:t>提供相同品牌产品且通过资格审查、符合性审查的不同投标人参加同一合同项下投标的，按一家投标人计算，评审后得分最高的同品牌投标人获得中标人推荐资格；评审得分相同的，按投标报价由低到高顺序排列。得分且投标报价相同的，由采购人确定一个投标人获得中标人推荐资格，其他同品牌投标人不作为中标候选人。</w:t>
      </w:r>
    </w:p>
    <w:p>
      <w:pPr>
        <w:adjustRightInd w:val="0"/>
        <w:snapToGrid w:val="0"/>
        <w:spacing w:line="288" w:lineRule="auto"/>
        <w:ind w:firstLine="424" w:firstLineChars="202"/>
        <w:rPr>
          <w:rFonts w:ascii="宋体" w:hAnsi="宋体" w:cs="Arial"/>
          <w:kern w:val="0"/>
          <w:sz w:val="21"/>
          <w:szCs w:val="21"/>
        </w:rPr>
      </w:pPr>
      <w:r>
        <w:rPr>
          <w:rFonts w:hint="eastAsia" w:ascii="宋体" w:hAnsi="宋体" w:cs="Arial"/>
          <w:kern w:val="0"/>
          <w:sz w:val="21"/>
          <w:szCs w:val="21"/>
        </w:rPr>
        <w:t>非单一产品采购项目，采购人应当根据采购项目技术构成、产品价格比重等合理确定核心产品，并在招标文件中载明。多家投标人提供的核心产品品牌相同的，按前款规定处理。</w:t>
      </w:r>
    </w:p>
    <w:p>
      <w:pPr>
        <w:adjustRightInd w:val="0"/>
        <w:snapToGrid w:val="0"/>
        <w:spacing w:line="288" w:lineRule="auto"/>
        <w:ind w:firstLine="426" w:firstLineChars="202"/>
        <w:rPr>
          <w:rFonts w:ascii="宋体" w:hAnsi="宋体" w:cs="Arial"/>
          <w:b/>
          <w:kern w:val="0"/>
          <w:sz w:val="21"/>
          <w:szCs w:val="21"/>
        </w:rPr>
      </w:pPr>
      <w:r>
        <w:rPr>
          <w:rFonts w:hint="eastAsia" w:ascii="宋体" w:hAnsi="宋体" w:cs="Arial"/>
          <w:b/>
          <w:kern w:val="0"/>
          <w:sz w:val="21"/>
          <w:szCs w:val="21"/>
        </w:rPr>
        <w:t>（七）</w:t>
      </w:r>
      <w:r>
        <w:rPr>
          <w:rFonts w:ascii="宋体" w:hAnsi="宋体" w:cs="Arial"/>
          <w:b/>
          <w:kern w:val="0"/>
          <w:sz w:val="21"/>
          <w:szCs w:val="21"/>
        </w:rPr>
        <w:t>编写评标报告</w:t>
      </w:r>
    </w:p>
    <w:p>
      <w:pPr>
        <w:adjustRightInd w:val="0"/>
        <w:snapToGrid w:val="0"/>
        <w:spacing w:line="288" w:lineRule="auto"/>
        <w:ind w:firstLine="424" w:firstLineChars="202"/>
        <w:rPr>
          <w:rFonts w:ascii="宋体" w:hAnsi="宋体" w:cs="Arial"/>
          <w:kern w:val="0"/>
          <w:sz w:val="21"/>
          <w:szCs w:val="21"/>
        </w:rPr>
      </w:pPr>
      <w:r>
        <w:rPr>
          <w:rFonts w:ascii="宋体" w:hAnsi="宋体" w:cs="Arial"/>
          <w:kern w:val="0"/>
          <w:sz w:val="21"/>
          <w:szCs w:val="21"/>
        </w:rPr>
        <w:t>评标委员会根据全体评标成员签名的原始评标记录和评标结果编写评标报告。</w:t>
      </w:r>
      <w:r>
        <w:rPr>
          <w:rFonts w:hint="eastAsia" w:ascii="宋体" w:hAnsi="宋体" w:cs="Arial"/>
          <w:kern w:val="0"/>
          <w:sz w:val="21"/>
          <w:szCs w:val="21"/>
        </w:rPr>
        <w:t>评标委员会成员对需要共同认定的事项存在争议的，应当按照少数服从多数的原则作出结论。持不同意见的评标委员会成员应当在评标报告上签署不同意见及理由，否则视为同意评标报告。</w:t>
      </w:r>
    </w:p>
    <w:bookmarkEnd w:id="45"/>
    <w:p>
      <w:pPr>
        <w:widowControl/>
        <w:adjustRightInd w:val="0"/>
        <w:snapToGrid w:val="0"/>
        <w:spacing w:line="288" w:lineRule="auto"/>
        <w:jc w:val="left"/>
        <w:rPr>
          <w:rFonts w:ascii="宋体" w:hAnsi="宋体"/>
          <w:b/>
          <w:spacing w:val="-6"/>
          <w:sz w:val="21"/>
          <w:szCs w:val="21"/>
        </w:rPr>
      </w:pPr>
      <w:r>
        <w:rPr>
          <w:rFonts w:ascii="宋体" w:hAnsi="宋体"/>
          <w:b/>
          <w:spacing w:val="-6"/>
          <w:sz w:val="21"/>
          <w:szCs w:val="21"/>
        </w:rPr>
        <w:br w:type="page"/>
      </w:r>
    </w:p>
    <w:p>
      <w:pPr>
        <w:adjustRightInd w:val="0"/>
        <w:snapToGrid w:val="0"/>
        <w:spacing w:line="288" w:lineRule="auto"/>
        <w:jc w:val="center"/>
        <w:outlineLvl w:val="1"/>
        <w:rPr>
          <w:rFonts w:ascii="宋体" w:hAnsi="宋体"/>
          <w:b/>
          <w:spacing w:val="-6"/>
          <w:sz w:val="21"/>
          <w:szCs w:val="21"/>
        </w:rPr>
      </w:pPr>
      <w:r>
        <w:rPr>
          <w:rFonts w:hint="eastAsia" w:ascii="宋体" w:hAnsi="宋体"/>
          <w:b/>
          <w:spacing w:val="-6"/>
          <w:sz w:val="21"/>
          <w:szCs w:val="21"/>
        </w:rPr>
        <w:t>七、中标与合同</w:t>
      </w:r>
    </w:p>
    <w:p>
      <w:pPr>
        <w:adjustRightInd w:val="0"/>
        <w:snapToGrid w:val="0"/>
        <w:spacing w:line="288" w:lineRule="auto"/>
        <w:rPr>
          <w:rFonts w:ascii="宋体" w:hAnsi="宋体"/>
          <w:b/>
          <w:spacing w:val="-6"/>
          <w:sz w:val="21"/>
          <w:szCs w:val="21"/>
        </w:rPr>
      </w:pPr>
      <w:r>
        <w:rPr>
          <w:rFonts w:hint="eastAsia" w:ascii="宋体" w:hAnsi="宋体"/>
          <w:b/>
          <w:spacing w:val="-6"/>
          <w:sz w:val="21"/>
          <w:szCs w:val="21"/>
        </w:rPr>
        <w:t>（一）中标</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1.采购代理机构应当在评标结束后</w:t>
      </w:r>
      <w:r>
        <w:rPr>
          <w:rFonts w:ascii="宋体" w:hAnsi="宋体"/>
          <w:spacing w:val="-6"/>
          <w:sz w:val="21"/>
          <w:szCs w:val="21"/>
        </w:rPr>
        <w:t>2个工作日内将评标报告送采购人。</w:t>
      </w:r>
      <w:r>
        <w:rPr>
          <w:rFonts w:hint="eastAsia" w:ascii="宋体" w:hAnsi="宋体"/>
          <w:spacing w:val="-6"/>
          <w:sz w:val="21"/>
          <w:szCs w:val="21"/>
        </w:rPr>
        <w:t>采购人应当自收到评标报告之日起</w:t>
      </w:r>
      <w:r>
        <w:rPr>
          <w:rFonts w:ascii="宋体" w:hAnsi="宋体"/>
          <w:spacing w:val="-6"/>
          <w:sz w:val="21"/>
          <w:szCs w:val="21"/>
        </w:rPr>
        <w:t>5个工作日内，在评标报告确定的中标候选人名单中按顺序确定中标人</w:t>
      </w:r>
      <w:r>
        <w:rPr>
          <w:rFonts w:hint="eastAsia" w:ascii="宋体" w:hAnsi="宋体"/>
          <w:spacing w:val="-6"/>
          <w:sz w:val="21"/>
          <w:szCs w:val="21"/>
        </w:rPr>
        <w:t>，也可以书面授权评标委员会直接确定中标人。</w:t>
      </w:r>
      <w:r>
        <w:rPr>
          <w:rFonts w:ascii="宋体" w:hAnsi="宋体"/>
          <w:spacing w:val="-6"/>
          <w:sz w:val="21"/>
          <w:szCs w:val="21"/>
        </w:rPr>
        <w:t>中标候选人并列的，由采购人确定中标人。</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2.采购代理机构自中标人确定之日起</w:t>
      </w:r>
      <w:r>
        <w:rPr>
          <w:rFonts w:ascii="宋体" w:hAnsi="宋体"/>
          <w:spacing w:val="-6"/>
          <w:sz w:val="21"/>
          <w:szCs w:val="21"/>
        </w:rPr>
        <w:t>2</w:t>
      </w:r>
      <w:r>
        <w:rPr>
          <w:rFonts w:hint="eastAsia" w:ascii="宋体" w:hAnsi="宋体"/>
          <w:spacing w:val="-6"/>
          <w:sz w:val="21"/>
          <w:szCs w:val="21"/>
        </w:rPr>
        <w:t>个工作日内，公告中标结果，并发出中标通知书。招标文件随中标结果同时公告。</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3</w:t>
      </w:r>
      <w:r>
        <w:rPr>
          <w:rFonts w:ascii="宋体" w:hAnsi="宋体"/>
          <w:spacing w:val="-6"/>
          <w:sz w:val="21"/>
          <w:szCs w:val="21"/>
        </w:rPr>
        <w:t>.</w:t>
      </w:r>
      <w:r>
        <w:rPr>
          <w:rFonts w:hint="eastAsia" w:ascii="宋体" w:hAnsi="宋体"/>
          <w:sz w:val="21"/>
          <w:szCs w:val="21"/>
        </w:rPr>
        <w:t>评标结果公示媒体：中国政府采购网（http://www.ccgp.gov.cn/）。</w:t>
      </w:r>
    </w:p>
    <w:p>
      <w:pPr>
        <w:adjustRightInd w:val="0"/>
        <w:snapToGrid w:val="0"/>
        <w:spacing w:line="288" w:lineRule="auto"/>
        <w:rPr>
          <w:rFonts w:ascii="宋体" w:hAnsi="宋体"/>
          <w:b/>
          <w:spacing w:val="-6"/>
          <w:sz w:val="21"/>
          <w:szCs w:val="21"/>
        </w:rPr>
      </w:pPr>
      <w:r>
        <w:rPr>
          <w:rFonts w:hint="eastAsia" w:ascii="宋体" w:hAnsi="宋体"/>
          <w:b/>
          <w:spacing w:val="-6"/>
          <w:sz w:val="21"/>
          <w:szCs w:val="21"/>
        </w:rPr>
        <w:t>（二）合同</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1</w:t>
      </w:r>
      <w:r>
        <w:rPr>
          <w:rFonts w:ascii="宋体" w:hAnsi="宋体"/>
          <w:spacing w:val="-6"/>
          <w:sz w:val="21"/>
          <w:szCs w:val="21"/>
        </w:rPr>
        <w:t>.</w:t>
      </w:r>
      <w:r>
        <w:rPr>
          <w:rFonts w:hint="eastAsia" w:ascii="宋体" w:hAnsi="宋体"/>
          <w:spacing w:val="-6"/>
          <w:sz w:val="21"/>
          <w:szCs w:val="21"/>
        </w:rPr>
        <w:t>采购人应当自中标通知书发出之日起30日内，按照招标文件和中标人投标文件的规定，与中标人签订书面合同。所签订的合同不得对招标文件确定的事项和中标人投标文件作实质性修改。采购人不得向中标人提出任何不合理的要求作为签订合同的条件。</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2.中标后无正当理由拒不与采购人签订政府采购合同，将被取消中标资格，并处以采购金额千分之五以上千分之十以下的罚款，由政府采购监督管理部门列入不良行为记录名单，在一至三年内禁止参加政府采购活动，有违法所得的，并处没收违法所得，情节严重的，由工商行政管理机关吊销营业执照。</w:t>
      </w:r>
    </w:p>
    <w:p>
      <w:pPr>
        <w:adjustRightInd w:val="0"/>
        <w:snapToGrid w:val="0"/>
        <w:spacing w:line="288" w:lineRule="auto"/>
        <w:ind w:firstLine="396" w:firstLineChars="200"/>
        <w:rPr>
          <w:rFonts w:ascii="宋体" w:hAnsi="宋体"/>
          <w:spacing w:val="-6"/>
          <w:sz w:val="21"/>
          <w:szCs w:val="21"/>
        </w:rPr>
      </w:pPr>
    </w:p>
    <w:p>
      <w:pPr>
        <w:adjustRightInd w:val="0"/>
        <w:snapToGrid w:val="0"/>
        <w:spacing w:line="288" w:lineRule="auto"/>
        <w:jc w:val="center"/>
        <w:outlineLvl w:val="1"/>
        <w:rPr>
          <w:rFonts w:ascii="宋体" w:hAnsi="宋体"/>
          <w:b/>
          <w:spacing w:val="-6"/>
          <w:sz w:val="21"/>
          <w:szCs w:val="21"/>
        </w:rPr>
      </w:pPr>
      <w:r>
        <w:rPr>
          <w:rFonts w:hint="eastAsia" w:ascii="宋体" w:hAnsi="宋体"/>
          <w:b/>
          <w:spacing w:val="-6"/>
          <w:sz w:val="21"/>
          <w:szCs w:val="21"/>
        </w:rPr>
        <w:t>八、</w:t>
      </w:r>
      <w:r>
        <w:rPr>
          <w:rFonts w:ascii="宋体" w:hAnsi="宋体"/>
          <w:b/>
          <w:spacing w:val="-6"/>
          <w:sz w:val="21"/>
          <w:szCs w:val="21"/>
        </w:rPr>
        <w:t>验 收</w:t>
      </w:r>
    </w:p>
    <w:p>
      <w:pPr>
        <w:tabs>
          <w:tab w:val="left" w:pos="0"/>
        </w:tabs>
        <w:adjustRightInd w:val="0"/>
        <w:snapToGrid w:val="0"/>
        <w:spacing w:line="288" w:lineRule="auto"/>
        <w:ind w:firstLine="422" w:firstLineChars="201"/>
        <w:rPr>
          <w:rFonts w:ascii="宋体" w:hAnsi="宋体" w:cs="Helvetica"/>
          <w:kern w:val="0"/>
          <w:sz w:val="21"/>
          <w:szCs w:val="21"/>
        </w:rPr>
      </w:pPr>
      <w:r>
        <w:rPr>
          <w:rFonts w:ascii="宋体" w:hAnsi="宋体" w:cs="Helvetica"/>
          <w:kern w:val="0"/>
          <w:sz w:val="21"/>
          <w:szCs w:val="21"/>
        </w:rPr>
        <w:t>采购人组织对供应商履约的验收。大型或者复杂的政府采购项目，应当邀请国家认可的质量检测机构参加验收工作。验收方成员应当在验收书上签名，并承担相应的法律责任。如果发现与合同中要求不符，供应商须承担由此发生的一切损失和费用，并接受相应的处理。</w:t>
      </w:r>
    </w:p>
    <w:p>
      <w:pPr>
        <w:tabs>
          <w:tab w:val="left" w:pos="0"/>
        </w:tabs>
        <w:adjustRightInd w:val="0"/>
        <w:snapToGrid w:val="0"/>
        <w:spacing w:line="288" w:lineRule="auto"/>
        <w:ind w:firstLine="422" w:firstLineChars="201"/>
        <w:rPr>
          <w:rFonts w:ascii="宋体" w:hAnsi="宋体" w:cs="Helvetica"/>
          <w:kern w:val="0"/>
          <w:sz w:val="21"/>
          <w:szCs w:val="21"/>
        </w:rPr>
      </w:pPr>
      <w:r>
        <w:rPr>
          <w:rFonts w:ascii="宋体" w:hAnsi="宋体" w:cs="Helvetica"/>
          <w:kern w:val="0"/>
          <w:sz w:val="21"/>
          <w:szCs w:val="21"/>
        </w:rPr>
        <w:t>采购人可以邀请参加本项目的其他投标人或者第三方机构参与验收。参与验收的投标人或者第三方机构的意见作为</w:t>
      </w:r>
      <w:r>
        <w:rPr>
          <w:rFonts w:hint="eastAsia" w:ascii="宋体" w:hAnsi="宋体" w:cs="Helvetica"/>
          <w:kern w:val="0"/>
          <w:sz w:val="21"/>
          <w:szCs w:val="21"/>
        </w:rPr>
        <w:t>验收书的参考资料一并存档。</w:t>
      </w:r>
    </w:p>
    <w:p>
      <w:pPr>
        <w:tabs>
          <w:tab w:val="left" w:pos="0"/>
        </w:tabs>
        <w:adjustRightInd w:val="0"/>
        <w:snapToGrid w:val="0"/>
        <w:spacing w:line="288" w:lineRule="auto"/>
        <w:ind w:firstLine="422" w:firstLineChars="201"/>
        <w:rPr>
          <w:rFonts w:ascii="宋体" w:hAnsi="宋体" w:cs="Helvetica"/>
          <w:kern w:val="0"/>
          <w:sz w:val="21"/>
          <w:szCs w:val="21"/>
        </w:rPr>
      </w:pPr>
      <w:r>
        <w:rPr>
          <w:rFonts w:ascii="宋体" w:hAnsi="宋体" w:cs="Helvetica"/>
          <w:kern w:val="0"/>
          <w:sz w:val="21"/>
          <w:szCs w:val="21"/>
        </w:rPr>
        <w:t>严格按照采购合同开展履约验收。采购人成立验收小组，按照采购合同的约定对供应商履约情况进行验收。验收时，按照采购合同的约定对每一项技术、服务、安全标准的履约情况进行确认。验收结束后，应当出具验收书，列明各项标准的验收情况及项目总体评价，由验收双方共同签署。验收结果与采购合同约定的资金支付及履约保证金返还条件挂钩。履约验收的各项资料应当存档备查。</w:t>
      </w:r>
    </w:p>
    <w:p>
      <w:pPr>
        <w:tabs>
          <w:tab w:val="left" w:pos="0"/>
        </w:tabs>
        <w:adjustRightInd w:val="0"/>
        <w:snapToGrid w:val="0"/>
        <w:spacing w:line="288" w:lineRule="auto"/>
        <w:ind w:firstLine="422" w:firstLineChars="201"/>
        <w:rPr>
          <w:rFonts w:ascii="宋体" w:hAnsi="宋体"/>
          <w:b/>
          <w:spacing w:val="-6"/>
          <w:sz w:val="21"/>
          <w:szCs w:val="21"/>
        </w:rPr>
      </w:pPr>
      <w:r>
        <w:rPr>
          <w:rFonts w:ascii="宋体" w:hAnsi="宋体" w:cs="Helvetica"/>
          <w:kern w:val="0"/>
          <w:sz w:val="21"/>
          <w:szCs w:val="21"/>
        </w:rPr>
        <w:t>验收合格的项目，采购人将根据采购合同的约定及时向供应商支付采购资金、退还履约保证金。验收不合格的项目，采购人将依法及时处理。采购合同的履行、违约责任和解决争议的方式等适用《中华人民共和国民法典》。供应商在履约过程中有政府采购法律法规规定的违法违规情形的，采购人应当及时报告本级财政部门。</w:t>
      </w:r>
    </w:p>
    <w:p>
      <w:pPr>
        <w:adjustRightInd w:val="0"/>
        <w:snapToGrid w:val="0"/>
        <w:spacing w:line="288" w:lineRule="auto"/>
        <w:ind w:firstLine="425" w:firstLineChars="214"/>
        <w:jc w:val="center"/>
        <w:outlineLvl w:val="0"/>
        <w:rPr>
          <w:rFonts w:ascii="宋体" w:hAnsi="宋体"/>
          <w:b/>
          <w:spacing w:val="-6"/>
          <w:sz w:val="32"/>
          <w:szCs w:val="32"/>
        </w:rPr>
      </w:pPr>
      <w:r>
        <w:rPr>
          <w:rFonts w:ascii="宋体" w:hAnsi="宋体"/>
          <w:b/>
          <w:bCs/>
          <w:spacing w:val="-6"/>
          <w:sz w:val="21"/>
          <w:szCs w:val="21"/>
        </w:rPr>
        <w:br w:type="page"/>
      </w:r>
      <w:r>
        <w:rPr>
          <w:rFonts w:hint="eastAsia" w:ascii="宋体" w:hAnsi="宋体"/>
          <w:b/>
          <w:spacing w:val="-6"/>
          <w:sz w:val="32"/>
          <w:szCs w:val="32"/>
        </w:rPr>
        <w:t>第四章  评标方法和评标标准</w:t>
      </w:r>
    </w:p>
    <w:p>
      <w:pPr>
        <w:adjustRightInd w:val="0"/>
        <w:snapToGrid w:val="0"/>
        <w:spacing w:line="288" w:lineRule="auto"/>
        <w:rPr>
          <w:rFonts w:ascii="宋体" w:hAnsi="宋体"/>
          <w:b/>
          <w:spacing w:val="-6"/>
          <w:sz w:val="21"/>
          <w:szCs w:val="21"/>
        </w:rPr>
      </w:pPr>
      <w:r>
        <w:rPr>
          <w:rFonts w:hint="eastAsia" w:ascii="宋体" w:hAnsi="宋体"/>
          <w:b/>
          <w:spacing w:val="-6"/>
          <w:sz w:val="21"/>
          <w:szCs w:val="21"/>
        </w:rPr>
        <w:t>一、评标方法</w:t>
      </w:r>
    </w:p>
    <w:p>
      <w:pPr>
        <w:adjustRightInd w:val="0"/>
        <w:snapToGrid w:val="0"/>
        <w:spacing w:line="288" w:lineRule="auto"/>
        <w:ind w:firstLine="396" w:firstLineChars="200"/>
        <w:rPr>
          <w:rFonts w:ascii="宋体" w:hAnsi="宋体"/>
          <w:bCs/>
          <w:spacing w:val="-6"/>
          <w:sz w:val="21"/>
          <w:szCs w:val="21"/>
        </w:rPr>
      </w:pPr>
      <w:r>
        <w:rPr>
          <w:rFonts w:hint="eastAsia" w:ascii="宋体" w:hAnsi="宋体"/>
          <w:bCs/>
          <w:spacing w:val="-6"/>
          <w:sz w:val="21"/>
          <w:szCs w:val="21"/>
        </w:rPr>
        <w:t>本次评标采用综合评分法，总分为100分。评分过程中采用四舍五入法，并保留小数2位。</w:t>
      </w:r>
    </w:p>
    <w:p>
      <w:pPr>
        <w:adjustRightInd w:val="0"/>
        <w:snapToGrid w:val="0"/>
        <w:spacing w:line="288" w:lineRule="auto"/>
        <w:ind w:firstLine="396" w:firstLineChars="200"/>
        <w:rPr>
          <w:rFonts w:ascii="宋体" w:hAnsi="宋体"/>
          <w:bCs/>
          <w:spacing w:val="-6"/>
          <w:sz w:val="21"/>
          <w:szCs w:val="21"/>
        </w:rPr>
      </w:pPr>
      <w:r>
        <w:rPr>
          <w:rFonts w:hint="eastAsia" w:ascii="宋体" w:hAnsi="宋体"/>
          <w:spacing w:val="-6"/>
          <w:sz w:val="21"/>
          <w:szCs w:val="21"/>
        </w:rPr>
        <w:t>投标人评标</w:t>
      </w:r>
      <w:r>
        <w:rPr>
          <w:rFonts w:hint="eastAsia" w:ascii="宋体" w:hAnsi="宋体"/>
          <w:bCs/>
          <w:spacing w:val="-6"/>
          <w:sz w:val="21"/>
          <w:szCs w:val="21"/>
        </w:rPr>
        <w:t>综合得分=商务分+技术分+价格分</w:t>
      </w:r>
    </w:p>
    <w:p>
      <w:pPr>
        <w:adjustRightInd w:val="0"/>
        <w:snapToGrid w:val="0"/>
        <w:spacing w:line="288" w:lineRule="auto"/>
        <w:ind w:firstLine="396" w:firstLineChars="200"/>
        <w:rPr>
          <w:rFonts w:ascii="宋体" w:hAnsi="宋体"/>
          <w:spacing w:val="-6"/>
          <w:sz w:val="21"/>
          <w:szCs w:val="21"/>
        </w:rPr>
      </w:pPr>
      <w:r>
        <w:rPr>
          <w:rFonts w:hint="eastAsia" w:ascii="宋体" w:hAnsi="宋体"/>
          <w:bCs/>
          <w:spacing w:val="-6"/>
          <w:sz w:val="21"/>
          <w:szCs w:val="21"/>
        </w:rPr>
        <w:t>商务和技术分按照评标委员会成员的独立评分结果的算术平均分计算，计算公式为：商务分</w:t>
      </w:r>
      <w:r>
        <w:rPr>
          <w:rFonts w:ascii="宋体" w:hAnsi="宋体"/>
          <w:bCs/>
          <w:spacing w:val="-6"/>
          <w:sz w:val="21"/>
          <w:szCs w:val="21"/>
        </w:rPr>
        <w:t>、</w:t>
      </w:r>
      <w:r>
        <w:rPr>
          <w:rFonts w:hint="eastAsia" w:ascii="宋体" w:hAnsi="宋体"/>
          <w:bCs/>
          <w:spacing w:val="-6"/>
          <w:sz w:val="21"/>
          <w:szCs w:val="21"/>
        </w:rPr>
        <w:t>技术分=评标委员会所有成员评分合计数</w:t>
      </w:r>
      <w:r>
        <w:rPr>
          <w:rFonts w:ascii="宋体" w:hAnsi="宋体"/>
          <w:bCs/>
          <w:spacing w:val="-6"/>
          <w:sz w:val="21"/>
          <w:szCs w:val="21"/>
        </w:rPr>
        <w:t>/</w:t>
      </w:r>
      <w:r>
        <w:rPr>
          <w:rFonts w:hint="eastAsia" w:ascii="宋体" w:hAnsi="宋体"/>
          <w:bCs/>
          <w:spacing w:val="-6"/>
          <w:sz w:val="21"/>
          <w:szCs w:val="21"/>
        </w:rPr>
        <w:t>评标委员会组成人员数</w:t>
      </w:r>
    </w:p>
    <w:p>
      <w:pPr>
        <w:adjustRightInd w:val="0"/>
        <w:snapToGrid w:val="0"/>
        <w:spacing w:line="288" w:lineRule="auto"/>
        <w:rPr>
          <w:rFonts w:ascii="宋体" w:hAnsi="宋体"/>
          <w:b/>
          <w:spacing w:val="-6"/>
          <w:sz w:val="21"/>
          <w:szCs w:val="21"/>
        </w:rPr>
      </w:pPr>
      <w:r>
        <w:rPr>
          <w:rFonts w:hint="eastAsia" w:ascii="宋体" w:hAnsi="宋体"/>
          <w:b/>
          <w:spacing w:val="-6"/>
          <w:sz w:val="21"/>
          <w:szCs w:val="21"/>
        </w:rPr>
        <w:t>二、评标标准</w:t>
      </w:r>
    </w:p>
    <w:tbl>
      <w:tblPr>
        <w:tblStyle w:val="24"/>
        <w:tblW w:w="96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67"/>
        <w:gridCol w:w="654"/>
        <w:gridCol w:w="72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767" w:type="dxa"/>
            <w:vAlign w:val="center"/>
          </w:tcPr>
          <w:p>
            <w:pPr>
              <w:adjustRightInd w:val="0"/>
              <w:snapToGrid w:val="0"/>
              <w:spacing w:line="288" w:lineRule="auto"/>
              <w:jc w:val="center"/>
              <w:rPr>
                <w:rFonts w:ascii="宋体" w:hAnsi="宋体"/>
                <w:b/>
                <w:bCs/>
                <w:sz w:val="21"/>
                <w:szCs w:val="21"/>
              </w:rPr>
            </w:pPr>
            <w:bookmarkStart w:id="46" w:name="_Hlk45091761"/>
            <w:r>
              <w:rPr>
                <w:rFonts w:hint="eastAsia" w:ascii="宋体" w:hAnsi="宋体"/>
                <w:b/>
                <w:bCs/>
                <w:sz w:val="21"/>
                <w:szCs w:val="21"/>
              </w:rPr>
              <w:t>评审因素</w:t>
            </w:r>
          </w:p>
        </w:tc>
        <w:tc>
          <w:tcPr>
            <w:tcW w:w="654" w:type="dxa"/>
            <w:vAlign w:val="center"/>
          </w:tcPr>
          <w:p>
            <w:pPr>
              <w:adjustRightInd w:val="0"/>
              <w:snapToGrid w:val="0"/>
              <w:spacing w:line="288" w:lineRule="auto"/>
              <w:jc w:val="center"/>
              <w:rPr>
                <w:rFonts w:ascii="宋体" w:hAnsi="宋体"/>
                <w:b/>
                <w:bCs/>
                <w:sz w:val="21"/>
                <w:szCs w:val="21"/>
              </w:rPr>
            </w:pPr>
            <w:r>
              <w:rPr>
                <w:rFonts w:hint="eastAsia" w:ascii="宋体" w:hAnsi="宋体"/>
                <w:b/>
                <w:bCs/>
                <w:sz w:val="21"/>
                <w:szCs w:val="21"/>
              </w:rPr>
              <w:t>分值</w:t>
            </w:r>
          </w:p>
        </w:tc>
        <w:tc>
          <w:tcPr>
            <w:tcW w:w="7213" w:type="dxa"/>
            <w:vAlign w:val="center"/>
          </w:tcPr>
          <w:p>
            <w:pPr>
              <w:adjustRightInd w:val="0"/>
              <w:snapToGrid w:val="0"/>
              <w:spacing w:line="288" w:lineRule="auto"/>
              <w:jc w:val="center"/>
              <w:rPr>
                <w:rFonts w:ascii="宋体" w:hAnsi="宋体"/>
                <w:b/>
                <w:bCs/>
                <w:sz w:val="21"/>
                <w:szCs w:val="21"/>
              </w:rPr>
            </w:pPr>
            <w:r>
              <w:rPr>
                <w:rFonts w:ascii="宋体" w:hAnsi="宋体"/>
                <w:b/>
                <w:bCs/>
                <w:sz w:val="21"/>
                <w:szCs w:val="21"/>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9634" w:type="dxa"/>
            <w:gridSpan w:val="3"/>
            <w:vAlign w:val="center"/>
          </w:tcPr>
          <w:p>
            <w:pPr>
              <w:adjustRightInd w:val="0"/>
              <w:snapToGrid w:val="0"/>
              <w:spacing w:line="288" w:lineRule="auto"/>
              <w:jc w:val="left"/>
              <w:rPr>
                <w:rFonts w:ascii="宋体" w:hAnsi="宋体"/>
                <w:b/>
                <w:bCs/>
                <w:sz w:val="21"/>
                <w:szCs w:val="21"/>
              </w:rPr>
            </w:pPr>
            <w:r>
              <w:rPr>
                <w:rFonts w:ascii="宋体" w:hAnsi="宋体"/>
                <w:b/>
                <w:bCs/>
                <w:sz w:val="21"/>
                <w:szCs w:val="21"/>
              </w:rPr>
              <w:t>价格</w:t>
            </w:r>
            <w:r>
              <w:rPr>
                <w:rFonts w:hint="eastAsia" w:ascii="宋体" w:hAnsi="宋体"/>
                <w:b/>
                <w:bCs/>
                <w:sz w:val="21"/>
                <w:szCs w:val="21"/>
              </w:rPr>
              <w:t>分（30）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767"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投标报价</w:t>
            </w:r>
          </w:p>
        </w:tc>
        <w:tc>
          <w:tcPr>
            <w:tcW w:w="654"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30</w:t>
            </w:r>
          </w:p>
        </w:tc>
        <w:tc>
          <w:tcPr>
            <w:tcW w:w="721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rPr>
                <w:rFonts w:ascii="宋体" w:hAnsi="宋体" w:cs="宋体"/>
                <w:sz w:val="21"/>
                <w:szCs w:val="21"/>
              </w:rPr>
            </w:pPr>
            <w:r>
              <w:rPr>
                <w:rFonts w:hint="eastAsia" w:ascii="宋体" w:hAnsi="宋体" w:cs="宋体"/>
                <w:sz w:val="21"/>
                <w:szCs w:val="21"/>
              </w:rPr>
              <w:t>价格分采用低价优先法计算，即满足招标文件要求且投标价格最低的投标报价为评标基准价，其他投标人的价格分按照下列公式计算：</w:t>
            </w:r>
          </w:p>
          <w:p>
            <w:pPr>
              <w:adjustRightInd w:val="0"/>
              <w:snapToGrid w:val="0"/>
              <w:spacing w:line="288" w:lineRule="auto"/>
              <w:rPr>
                <w:rFonts w:ascii="宋体" w:hAnsi="宋体" w:cs="宋体"/>
                <w:sz w:val="21"/>
                <w:szCs w:val="21"/>
              </w:rPr>
            </w:pPr>
            <w:r>
              <w:rPr>
                <w:rFonts w:hint="eastAsia" w:ascii="宋体" w:hAnsi="宋体" w:cs="宋体"/>
                <w:sz w:val="21"/>
                <w:szCs w:val="21"/>
              </w:rPr>
              <w:t>价格分=（评标基准价/投标报价）×30%×100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9634" w:type="dxa"/>
            <w:gridSpan w:val="3"/>
            <w:vAlign w:val="center"/>
          </w:tcPr>
          <w:p>
            <w:pPr>
              <w:adjustRightInd w:val="0"/>
              <w:snapToGrid w:val="0"/>
              <w:spacing w:line="288" w:lineRule="auto"/>
              <w:jc w:val="left"/>
              <w:rPr>
                <w:rFonts w:ascii="宋体" w:hAnsi="宋体"/>
                <w:b/>
                <w:bCs/>
                <w:sz w:val="21"/>
                <w:szCs w:val="21"/>
              </w:rPr>
            </w:pPr>
            <w:r>
              <w:rPr>
                <w:rFonts w:ascii="宋体" w:hAnsi="宋体"/>
                <w:b/>
                <w:bCs/>
                <w:sz w:val="21"/>
                <w:szCs w:val="21"/>
              </w:rPr>
              <w:t>商务分</w:t>
            </w:r>
            <w:r>
              <w:rPr>
                <w:rFonts w:hint="eastAsia" w:ascii="宋体" w:hAnsi="宋体"/>
                <w:b/>
                <w:bCs/>
                <w:sz w:val="21"/>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767" w:type="dxa"/>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业绩</w:t>
            </w:r>
          </w:p>
        </w:tc>
        <w:tc>
          <w:tcPr>
            <w:tcW w:w="654" w:type="dxa"/>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3</w:t>
            </w:r>
          </w:p>
        </w:tc>
        <w:tc>
          <w:tcPr>
            <w:tcW w:w="7213" w:type="dxa"/>
            <w:vAlign w:val="center"/>
          </w:tcPr>
          <w:p>
            <w:pPr>
              <w:adjustRightInd w:val="0"/>
              <w:snapToGrid w:val="0"/>
              <w:spacing w:line="288" w:lineRule="auto"/>
              <w:rPr>
                <w:kern w:val="0"/>
                <w:sz w:val="21"/>
                <w:szCs w:val="21"/>
              </w:rPr>
            </w:pPr>
            <w:r>
              <w:rPr>
                <w:rFonts w:hint="eastAsia"/>
                <w:kern w:val="0"/>
                <w:sz w:val="21"/>
                <w:szCs w:val="21"/>
              </w:rPr>
              <w:t>【客观分】</w:t>
            </w:r>
          </w:p>
          <w:p>
            <w:pPr>
              <w:adjustRightInd w:val="0"/>
              <w:snapToGrid w:val="0"/>
              <w:spacing w:line="288" w:lineRule="auto"/>
              <w:rPr>
                <w:rFonts w:ascii="宋体" w:hAnsi="宋体" w:cs="宋体"/>
                <w:sz w:val="21"/>
                <w:szCs w:val="21"/>
              </w:rPr>
            </w:pPr>
            <w:r>
              <w:rPr>
                <w:rFonts w:hint="eastAsia" w:ascii="宋体" w:hAnsi="宋体" w:cs="宋体"/>
                <w:sz w:val="21"/>
                <w:szCs w:val="21"/>
              </w:rPr>
              <w:t>投标人自2020年1月1日以来（以合同签订时间为准）物业管理</w:t>
            </w:r>
            <w:r>
              <w:rPr>
                <w:rFonts w:hint="eastAsia" w:ascii="宋体" w:hAnsi="宋体" w:cs="宋体"/>
                <w:b/>
                <w:sz w:val="21"/>
                <w:szCs w:val="21"/>
              </w:rPr>
              <w:t>同类合同业绩</w:t>
            </w:r>
            <w:r>
              <w:rPr>
                <w:rFonts w:hint="eastAsia" w:ascii="宋体" w:hAnsi="宋体" w:cs="宋体"/>
                <w:sz w:val="21"/>
                <w:szCs w:val="21"/>
              </w:rPr>
              <w:t>（以提供的合同复印件为准）：每提供1份同类合同业绩得</w:t>
            </w:r>
            <w:r>
              <w:rPr>
                <w:rFonts w:ascii="宋体" w:hAnsi="宋体" w:cs="宋体"/>
                <w:sz w:val="21"/>
                <w:szCs w:val="21"/>
              </w:rPr>
              <w:t>1</w:t>
            </w:r>
            <w:r>
              <w:rPr>
                <w:rFonts w:hint="eastAsia" w:ascii="宋体" w:hAnsi="宋体" w:cs="宋体"/>
                <w:sz w:val="21"/>
                <w:szCs w:val="21"/>
              </w:rPr>
              <w:t>分，最高得3分。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9634" w:type="dxa"/>
            <w:gridSpan w:val="3"/>
            <w:vAlign w:val="center"/>
          </w:tcPr>
          <w:p>
            <w:pPr>
              <w:adjustRightInd w:val="0"/>
              <w:snapToGrid w:val="0"/>
              <w:spacing w:line="288" w:lineRule="auto"/>
              <w:jc w:val="left"/>
              <w:rPr>
                <w:rFonts w:ascii="宋体" w:hAnsi="宋体"/>
                <w:b/>
                <w:bCs/>
                <w:sz w:val="21"/>
                <w:szCs w:val="21"/>
              </w:rPr>
            </w:pPr>
            <w:r>
              <w:rPr>
                <w:rFonts w:hint="eastAsia" w:ascii="宋体" w:hAnsi="宋体"/>
                <w:b/>
                <w:bCs/>
                <w:sz w:val="21"/>
                <w:szCs w:val="21"/>
              </w:rPr>
              <w:t>技术</w:t>
            </w:r>
            <w:r>
              <w:rPr>
                <w:rFonts w:ascii="宋体" w:hAnsi="宋体"/>
                <w:b/>
                <w:bCs/>
                <w:sz w:val="21"/>
                <w:szCs w:val="21"/>
              </w:rPr>
              <w:t>分</w:t>
            </w:r>
            <w:r>
              <w:rPr>
                <w:rFonts w:hint="eastAsia" w:ascii="宋体" w:hAnsi="宋体"/>
                <w:b/>
                <w:bCs/>
                <w:sz w:val="21"/>
                <w:szCs w:val="21"/>
              </w:rPr>
              <w:t>（67）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767" w:type="dxa"/>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技术响应程度</w:t>
            </w:r>
          </w:p>
        </w:tc>
        <w:tc>
          <w:tcPr>
            <w:tcW w:w="654" w:type="dxa"/>
            <w:vAlign w:val="center"/>
          </w:tcPr>
          <w:p>
            <w:pPr>
              <w:adjustRightInd w:val="0"/>
              <w:snapToGrid w:val="0"/>
              <w:spacing w:line="288" w:lineRule="auto"/>
              <w:jc w:val="center"/>
              <w:rPr>
                <w:rFonts w:hint="eastAsia" w:ascii="宋体" w:hAnsi="宋体" w:eastAsia="宋体" w:cs="宋体"/>
                <w:b/>
                <w:bCs/>
                <w:sz w:val="21"/>
                <w:szCs w:val="21"/>
                <w:lang w:eastAsia="zh-CN"/>
              </w:rPr>
            </w:pPr>
            <w:r>
              <w:rPr>
                <w:rFonts w:hint="eastAsia" w:ascii="宋体" w:hAnsi="宋体" w:cs="宋体"/>
                <w:b/>
                <w:bCs/>
                <w:sz w:val="21"/>
                <w:szCs w:val="21"/>
              </w:rPr>
              <w:t>2</w:t>
            </w:r>
            <w:r>
              <w:rPr>
                <w:rFonts w:hint="eastAsia" w:ascii="宋体" w:hAnsi="宋体" w:cs="宋体"/>
                <w:b/>
                <w:bCs/>
                <w:sz w:val="21"/>
                <w:szCs w:val="21"/>
                <w:lang w:val="en-US" w:eastAsia="zh-CN"/>
              </w:rPr>
              <w:t>0</w:t>
            </w:r>
          </w:p>
        </w:tc>
        <w:tc>
          <w:tcPr>
            <w:tcW w:w="7213" w:type="dxa"/>
            <w:vAlign w:val="center"/>
          </w:tcPr>
          <w:p>
            <w:pPr>
              <w:adjustRightInd w:val="0"/>
              <w:snapToGrid w:val="0"/>
              <w:spacing w:line="288" w:lineRule="auto"/>
              <w:rPr>
                <w:kern w:val="0"/>
                <w:sz w:val="21"/>
                <w:szCs w:val="21"/>
              </w:rPr>
            </w:pPr>
            <w:r>
              <w:rPr>
                <w:rFonts w:hint="eastAsia"/>
                <w:kern w:val="0"/>
                <w:sz w:val="21"/>
                <w:szCs w:val="21"/>
              </w:rPr>
              <w:t>【客观分】</w:t>
            </w:r>
          </w:p>
          <w:p>
            <w:pPr>
              <w:adjustRightInd w:val="0"/>
              <w:snapToGrid w:val="0"/>
              <w:spacing w:line="288" w:lineRule="auto"/>
              <w:rPr>
                <w:rFonts w:ascii="宋体" w:hAnsi="宋体" w:cs="宋体"/>
                <w:sz w:val="21"/>
                <w:szCs w:val="21"/>
              </w:rPr>
            </w:pPr>
            <w:r>
              <w:rPr>
                <w:rFonts w:hint="eastAsia" w:ascii="宋体" w:hAnsi="宋体" w:cs="宋体"/>
                <w:sz w:val="21"/>
                <w:szCs w:val="21"/>
              </w:rPr>
              <w:t>不符合（负偏离）技术要求中标注“▲”条款（不可偏离）的投标无效；</w:t>
            </w:r>
          </w:p>
          <w:p>
            <w:pPr>
              <w:adjustRightInd w:val="0"/>
              <w:snapToGrid w:val="0"/>
              <w:spacing w:line="288" w:lineRule="auto"/>
              <w:rPr>
                <w:rFonts w:ascii="宋体" w:hAnsi="宋体" w:cs="宋体"/>
                <w:sz w:val="21"/>
                <w:szCs w:val="21"/>
              </w:rPr>
            </w:pPr>
            <w:r>
              <w:rPr>
                <w:rFonts w:hint="eastAsia" w:ascii="宋体" w:hAnsi="宋体" w:cs="宋体"/>
                <w:sz w:val="21"/>
                <w:szCs w:val="21"/>
              </w:rPr>
              <w:t>满足招标文件明确的全部技术条款要求的该项得满分；</w:t>
            </w:r>
          </w:p>
          <w:p>
            <w:pPr>
              <w:adjustRightInd w:val="0"/>
              <w:snapToGrid w:val="0"/>
              <w:spacing w:line="288" w:lineRule="auto"/>
              <w:rPr>
                <w:rFonts w:ascii="宋体" w:hAnsi="宋体" w:cs="宋体"/>
                <w:sz w:val="21"/>
                <w:szCs w:val="21"/>
              </w:rPr>
            </w:pPr>
            <w:r>
              <w:rPr>
                <w:rFonts w:hint="eastAsia" w:ascii="宋体" w:hAnsi="宋体" w:cs="宋体"/>
                <w:sz w:val="21"/>
                <w:szCs w:val="21"/>
              </w:rPr>
              <w:t>技术条款低于技术要求（负偏离）的每项扣</w:t>
            </w:r>
            <w:r>
              <w:rPr>
                <w:rFonts w:hint="eastAsia" w:ascii="宋体" w:hAnsi="宋体" w:cs="宋体"/>
                <w:sz w:val="21"/>
                <w:szCs w:val="21"/>
                <w:lang w:val="en-US" w:eastAsia="zh-CN"/>
              </w:rPr>
              <w:t>2</w:t>
            </w:r>
            <w:r>
              <w:rPr>
                <w:rFonts w:hint="eastAsia" w:ascii="宋体" w:hAnsi="宋体" w:cs="宋体"/>
                <w:sz w:val="21"/>
                <w:szCs w:val="21"/>
              </w:rPr>
              <w:t>分；</w:t>
            </w:r>
          </w:p>
          <w:p>
            <w:pPr>
              <w:adjustRightInd w:val="0"/>
              <w:snapToGrid w:val="0"/>
              <w:spacing w:line="288" w:lineRule="auto"/>
              <w:rPr>
                <w:rFonts w:ascii="宋体" w:hAnsi="宋体" w:cs="宋体"/>
                <w:sz w:val="21"/>
                <w:szCs w:val="21"/>
              </w:rPr>
            </w:pPr>
            <w:r>
              <w:rPr>
                <w:rFonts w:hint="eastAsia" w:ascii="宋体" w:hAnsi="宋体" w:cs="宋体"/>
                <w:sz w:val="21"/>
                <w:szCs w:val="21"/>
              </w:rPr>
              <w:t>负偏离</w:t>
            </w:r>
            <w:r>
              <w:rPr>
                <w:rFonts w:hint="eastAsia" w:ascii="宋体" w:hAnsi="宋体" w:cs="宋体"/>
                <w:sz w:val="21"/>
                <w:szCs w:val="21"/>
                <w:lang w:val="en-US" w:eastAsia="zh-CN"/>
              </w:rPr>
              <w:t>11</w:t>
            </w:r>
            <w:r>
              <w:rPr>
                <w:rFonts w:hint="eastAsia" w:ascii="宋体" w:hAnsi="宋体" w:cs="宋体"/>
                <w:sz w:val="21"/>
                <w:szCs w:val="21"/>
              </w:rPr>
              <w:t>项及以上的，视为采购人不能接受的附加条件。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767" w:type="dxa"/>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物业管理服务理念、定位、目标及方案</w:t>
            </w:r>
          </w:p>
        </w:tc>
        <w:tc>
          <w:tcPr>
            <w:tcW w:w="654" w:type="dxa"/>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4</w:t>
            </w:r>
          </w:p>
        </w:tc>
        <w:tc>
          <w:tcPr>
            <w:tcW w:w="7213" w:type="dxa"/>
            <w:vAlign w:val="center"/>
          </w:tcPr>
          <w:p>
            <w:pPr>
              <w:adjustRightInd w:val="0"/>
              <w:snapToGrid w:val="0"/>
              <w:spacing w:line="288" w:lineRule="auto"/>
              <w:rPr>
                <w:rFonts w:ascii="宋体" w:hAnsi="宋体" w:cs="宋体"/>
                <w:sz w:val="21"/>
                <w:szCs w:val="21"/>
              </w:rPr>
            </w:pPr>
            <w:r>
              <w:rPr>
                <w:rFonts w:hint="eastAsia" w:ascii="宋体" w:hAnsi="宋体" w:cs="宋体"/>
                <w:sz w:val="21"/>
                <w:szCs w:val="21"/>
              </w:rPr>
              <w:t>【主观分】投标人根据本项目物业使用特点提出合理的物业管理服务理念，对管理服务提出服务定位、目标，须结合本项目特点，提出有针对性的，切实可行的方案。（评分范围：4，3，2，1，0）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767" w:type="dxa"/>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组织架构、管理流程</w:t>
            </w:r>
          </w:p>
        </w:tc>
        <w:tc>
          <w:tcPr>
            <w:tcW w:w="654" w:type="dxa"/>
            <w:vAlign w:val="center"/>
          </w:tcPr>
          <w:p>
            <w:pPr>
              <w:adjustRightInd w:val="0"/>
              <w:snapToGrid w:val="0"/>
              <w:spacing w:line="288" w:lineRule="auto"/>
              <w:jc w:val="center"/>
              <w:rPr>
                <w:rFonts w:hint="eastAsia" w:ascii="宋体" w:hAnsi="宋体" w:eastAsia="宋体" w:cs="宋体"/>
                <w:b/>
                <w:bCs/>
                <w:sz w:val="21"/>
                <w:szCs w:val="21"/>
                <w:lang w:eastAsia="zh-CN"/>
              </w:rPr>
            </w:pPr>
            <w:r>
              <w:rPr>
                <w:rFonts w:hint="eastAsia" w:ascii="宋体" w:hAnsi="宋体" w:cs="宋体"/>
                <w:b/>
                <w:bCs/>
                <w:sz w:val="21"/>
                <w:szCs w:val="21"/>
                <w:lang w:val="en-US" w:eastAsia="zh-CN"/>
              </w:rPr>
              <w:t>5</w:t>
            </w:r>
          </w:p>
        </w:tc>
        <w:tc>
          <w:tcPr>
            <w:tcW w:w="7213" w:type="dxa"/>
            <w:vAlign w:val="center"/>
          </w:tcPr>
          <w:p>
            <w:pPr>
              <w:adjustRightInd w:val="0"/>
              <w:snapToGrid w:val="0"/>
              <w:spacing w:line="288" w:lineRule="auto"/>
              <w:rPr>
                <w:rFonts w:ascii="宋体" w:hAnsi="宋体" w:cs="宋体"/>
                <w:sz w:val="21"/>
                <w:szCs w:val="21"/>
              </w:rPr>
            </w:pPr>
            <w:r>
              <w:rPr>
                <w:rFonts w:hint="eastAsia" w:ascii="宋体" w:hAnsi="宋体" w:cs="宋体"/>
                <w:sz w:val="21"/>
                <w:szCs w:val="21"/>
              </w:rPr>
              <w:t>【主观分】投标人有比较完善的组织架构，清晰简练地列出主要管理流程，包括对运作流程图、激励机制、监督机制、自我约束机制、信息反馈渠道及处理机制，管理指标承诺达到物业管理标准。（评分范围：</w:t>
            </w:r>
            <w:r>
              <w:rPr>
                <w:rFonts w:hint="eastAsia" w:ascii="宋体" w:hAnsi="宋体" w:cs="宋体"/>
                <w:sz w:val="21"/>
                <w:szCs w:val="21"/>
                <w:lang w:val="en-US" w:eastAsia="zh-CN"/>
              </w:rPr>
              <w:t>5，</w:t>
            </w:r>
            <w:r>
              <w:rPr>
                <w:rFonts w:hint="eastAsia" w:ascii="宋体" w:hAnsi="宋体" w:cs="宋体"/>
                <w:sz w:val="21"/>
                <w:szCs w:val="21"/>
              </w:rPr>
              <w:t>4，3，2，1，0）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767" w:type="dxa"/>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物业管理制度情况</w:t>
            </w:r>
          </w:p>
        </w:tc>
        <w:tc>
          <w:tcPr>
            <w:tcW w:w="654" w:type="dxa"/>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4</w:t>
            </w:r>
          </w:p>
        </w:tc>
        <w:tc>
          <w:tcPr>
            <w:tcW w:w="7213" w:type="dxa"/>
            <w:vAlign w:val="center"/>
          </w:tcPr>
          <w:p>
            <w:pPr>
              <w:adjustRightInd w:val="0"/>
              <w:snapToGrid w:val="0"/>
              <w:spacing w:line="288" w:lineRule="auto"/>
              <w:rPr>
                <w:rFonts w:ascii="宋体" w:hAnsi="宋体" w:cs="宋体"/>
                <w:sz w:val="21"/>
                <w:szCs w:val="21"/>
              </w:rPr>
            </w:pPr>
            <w:r>
              <w:rPr>
                <w:rFonts w:hint="eastAsia" w:ascii="宋体" w:hAnsi="宋体" w:cs="宋体"/>
                <w:sz w:val="21"/>
                <w:szCs w:val="21"/>
              </w:rPr>
              <w:t>【主观分】投标人有完善的物业管理制度、作业流程及物业管理工作计划及实施时间，并建立和完善档案管理制度、公众制度、物业管理制度及其配套设施权属清册等，体现标准化服务，管理服务水平符合国家和行业标准。（评分范围：4，3，2，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767" w:type="dxa"/>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治安与秩序管理服务方案</w:t>
            </w:r>
          </w:p>
        </w:tc>
        <w:tc>
          <w:tcPr>
            <w:tcW w:w="654" w:type="dxa"/>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5</w:t>
            </w:r>
          </w:p>
        </w:tc>
        <w:tc>
          <w:tcPr>
            <w:tcW w:w="7213" w:type="dxa"/>
            <w:vAlign w:val="center"/>
          </w:tcPr>
          <w:p>
            <w:pPr>
              <w:adjustRightInd w:val="0"/>
              <w:snapToGrid w:val="0"/>
              <w:spacing w:line="288" w:lineRule="auto"/>
              <w:rPr>
                <w:rFonts w:ascii="宋体" w:hAnsi="宋体" w:cs="宋体"/>
                <w:sz w:val="21"/>
                <w:szCs w:val="21"/>
              </w:rPr>
            </w:pPr>
            <w:r>
              <w:rPr>
                <w:rFonts w:hint="eastAsia" w:ascii="宋体" w:hAnsi="宋体" w:cs="宋体"/>
                <w:sz w:val="21"/>
                <w:szCs w:val="21"/>
              </w:rPr>
              <w:t>【主观分】投标人针对本项目提供的治安与秩序管理服务方案详细全面，保障措施合理有效，针对性强，符合项目特点和实际需要。（评分范围：5，4，3，2，1，0）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767" w:type="dxa"/>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消防管理服务方案</w:t>
            </w:r>
          </w:p>
        </w:tc>
        <w:tc>
          <w:tcPr>
            <w:tcW w:w="654" w:type="dxa"/>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5</w:t>
            </w:r>
          </w:p>
        </w:tc>
        <w:tc>
          <w:tcPr>
            <w:tcW w:w="7213" w:type="dxa"/>
            <w:vAlign w:val="center"/>
          </w:tcPr>
          <w:p>
            <w:pPr>
              <w:adjustRightInd w:val="0"/>
              <w:snapToGrid w:val="0"/>
              <w:spacing w:line="288" w:lineRule="auto"/>
              <w:rPr>
                <w:rFonts w:ascii="宋体" w:hAnsi="宋体" w:cs="宋体"/>
                <w:sz w:val="21"/>
                <w:szCs w:val="21"/>
              </w:rPr>
            </w:pPr>
            <w:r>
              <w:rPr>
                <w:rFonts w:hint="eastAsia" w:ascii="宋体" w:hAnsi="宋体" w:cs="宋体"/>
                <w:sz w:val="21"/>
                <w:szCs w:val="21"/>
              </w:rPr>
              <w:t>【主观分】投标人针对本项目提供的消防管理服务方案详细全面，保障措施合理有效，针对性强，符合项目特点和实际需要。（评分范围：5，4，3，2，1，0）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767" w:type="dxa"/>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日常保洁和专业清洁服务方案</w:t>
            </w:r>
          </w:p>
        </w:tc>
        <w:tc>
          <w:tcPr>
            <w:tcW w:w="654" w:type="dxa"/>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5</w:t>
            </w:r>
          </w:p>
        </w:tc>
        <w:tc>
          <w:tcPr>
            <w:tcW w:w="7213" w:type="dxa"/>
            <w:vAlign w:val="center"/>
          </w:tcPr>
          <w:p>
            <w:pPr>
              <w:adjustRightInd w:val="0"/>
              <w:snapToGrid w:val="0"/>
              <w:spacing w:line="288" w:lineRule="auto"/>
              <w:rPr>
                <w:rFonts w:ascii="宋体" w:hAnsi="宋体" w:cs="宋体"/>
                <w:sz w:val="21"/>
                <w:szCs w:val="21"/>
              </w:rPr>
            </w:pPr>
            <w:r>
              <w:rPr>
                <w:rFonts w:hint="eastAsia" w:ascii="宋体" w:hAnsi="宋体" w:cs="宋体"/>
                <w:sz w:val="21"/>
                <w:szCs w:val="21"/>
              </w:rPr>
              <w:t>【主观分】日常保洁和专业清洁服务。方案包括物业服务区域内的办公楼内公共区域、办公楼内公共区域、其他构筑物、垃圾分类及四害防控等。方案根据服务区域内实际情况设计，针对性强，能满足采购需求中的服务质量标准。（评分范围：5，4，3，2，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767" w:type="dxa"/>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会务服务方案</w:t>
            </w:r>
          </w:p>
        </w:tc>
        <w:tc>
          <w:tcPr>
            <w:tcW w:w="654" w:type="dxa"/>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5</w:t>
            </w:r>
          </w:p>
        </w:tc>
        <w:tc>
          <w:tcPr>
            <w:tcW w:w="7213" w:type="dxa"/>
            <w:vAlign w:val="center"/>
          </w:tcPr>
          <w:p>
            <w:pPr>
              <w:adjustRightInd w:val="0"/>
              <w:snapToGrid w:val="0"/>
              <w:spacing w:line="288" w:lineRule="auto"/>
              <w:rPr>
                <w:rFonts w:ascii="宋体" w:hAnsi="宋体" w:cs="宋体"/>
                <w:sz w:val="21"/>
                <w:szCs w:val="21"/>
              </w:rPr>
            </w:pPr>
            <w:r>
              <w:rPr>
                <w:rFonts w:hint="eastAsia" w:ascii="宋体" w:hAnsi="宋体" w:cs="宋体"/>
                <w:sz w:val="21"/>
                <w:szCs w:val="21"/>
              </w:rPr>
              <w:t>【主观分】投标人针对本项目提供的会务服务方案详细全面，保障措施合理有效，针对性强，符合项目特点和实际需要。（评分范围：5，4，3，2，1，0）</w:t>
            </w:r>
          </w:p>
        </w:tc>
      </w:tr>
      <w:bookmarkEnd w:id="46"/>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767" w:type="dxa"/>
            <w:tcBorders>
              <w:top w:val="single" w:color="auto" w:sz="4" w:space="0"/>
              <w:left w:val="single" w:color="auto" w:sz="4" w:space="0"/>
              <w:right w:val="single" w:color="auto" w:sz="4" w:space="0"/>
            </w:tcBorders>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应急突发事件管理方案</w:t>
            </w:r>
          </w:p>
        </w:tc>
        <w:tc>
          <w:tcPr>
            <w:tcW w:w="65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ascii="宋体" w:hAnsi="宋体"/>
                <w:b/>
                <w:bCs/>
                <w:spacing w:val="-6"/>
                <w:sz w:val="21"/>
                <w:szCs w:val="21"/>
              </w:rPr>
            </w:pPr>
            <w:r>
              <w:rPr>
                <w:rFonts w:hint="eastAsia" w:ascii="宋体" w:hAnsi="宋体"/>
                <w:b/>
                <w:bCs/>
                <w:spacing w:val="-6"/>
                <w:sz w:val="21"/>
                <w:szCs w:val="21"/>
              </w:rPr>
              <w:t>4</w:t>
            </w:r>
          </w:p>
        </w:tc>
        <w:tc>
          <w:tcPr>
            <w:tcW w:w="721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rPr>
                <w:rFonts w:ascii="宋体" w:hAnsi="宋体" w:cs="宋体"/>
                <w:sz w:val="21"/>
                <w:szCs w:val="21"/>
              </w:rPr>
            </w:pPr>
            <w:r>
              <w:rPr>
                <w:rFonts w:hint="eastAsia" w:ascii="宋体" w:hAnsi="宋体" w:cs="宋体"/>
                <w:sz w:val="21"/>
                <w:szCs w:val="21"/>
              </w:rPr>
              <w:t>【主观分】物业服务区域内各级各类应急预案，对突发事件应急预案及相应的措施合理，符合采购需求，以消防、应对极端天气（台风、暴雨、冻雪）、突发停电、突发暴力事件、人员疏散等为例，方案内容有针对性且措施有效。（评分范围：4，3，2，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9" w:hRule="atLeast"/>
          <w:jc w:val="center"/>
        </w:trPr>
        <w:tc>
          <w:tcPr>
            <w:tcW w:w="1767"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服务团队</w:t>
            </w:r>
          </w:p>
        </w:tc>
        <w:tc>
          <w:tcPr>
            <w:tcW w:w="654"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5</w:t>
            </w:r>
          </w:p>
        </w:tc>
        <w:tc>
          <w:tcPr>
            <w:tcW w:w="721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rPr>
                <w:rFonts w:ascii="宋体" w:hAnsi="宋体" w:cs="宋体"/>
                <w:sz w:val="21"/>
                <w:szCs w:val="21"/>
              </w:rPr>
            </w:pPr>
            <w:r>
              <w:rPr>
                <w:rFonts w:hint="eastAsia" w:ascii="宋体" w:hAnsi="宋体" w:cs="宋体"/>
                <w:sz w:val="21"/>
                <w:szCs w:val="21"/>
              </w:rPr>
              <w:t>【主观分】投标人投入本项目团队成员数量充足，配置合理，专业素质、技术能力强，经验丰富，符合项目特点和实际需要。（评分范围：5,4,3,2,1,0）</w:t>
            </w:r>
          </w:p>
          <w:p>
            <w:pPr>
              <w:adjustRightInd w:val="0"/>
              <w:snapToGrid w:val="0"/>
              <w:spacing w:line="288" w:lineRule="auto"/>
              <w:rPr>
                <w:rFonts w:ascii="宋体" w:hAnsi="宋体" w:cs="宋体"/>
                <w:sz w:val="21"/>
                <w:szCs w:val="21"/>
              </w:rPr>
            </w:pPr>
            <w:r>
              <w:rPr>
                <w:rFonts w:hint="eastAsia" w:ascii="宋体" w:hAnsi="宋体" w:cs="宋体"/>
                <w:b/>
                <w:bCs/>
                <w:sz w:val="21"/>
                <w:szCs w:val="21"/>
              </w:rPr>
              <w:t>提供投标人本单位在投标截止时间前近三个月内任意一月为以上人员缴纳社保的证明材料，不提供社保缴纳证明不得分。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767"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拟投入设备</w:t>
            </w:r>
          </w:p>
        </w:tc>
        <w:tc>
          <w:tcPr>
            <w:tcW w:w="654"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5</w:t>
            </w:r>
          </w:p>
        </w:tc>
        <w:tc>
          <w:tcPr>
            <w:tcW w:w="721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rPr>
                <w:rFonts w:ascii="宋体" w:hAnsi="宋体" w:cs="宋体"/>
                <w:sz w:val="21"/>
                <w:szCs w:val="21"/>
              </w:rPr>
            </w:pPr>
            <w:r>
              <w:rPr>
                <w:rFonts w:hint="eastAsia" w:ascii="宋体" w:hAnsi="宋体" w:cs="宋体"/>
                <w:sz w:val="21"/>
                <w:szCs w:val="21"/>
              </w:rPr>
              <w:t>【主观分】投标人投入本项目主要设备工具基本配置情况全面科学，包括安全保卫装备、服装、清洁用具等方面配置合理，，符合项目特点和实际需要。（评分范围：5，4，3，2，1，0）</w:t>
            </w:r>
          </w:p>
        </w:tc>
      </w:tr>
    </w:tbl>
    <w:p>
      <w:pPr>
        <w:adjustRightInd w:val="0"/>
        <w:snapToGrid w:val="0"/>
        <w:spacing w:line="288" w:lineRule="auto"/>
        <w:jc w:val="left"/>
        <w:rPr>
          <w:rFonts w:ascii="宋体" w:hAnsi="宋体"/>
          <w:b/>
          <w:sz w:val="21"/>
          <w:szCs w:val="21"/>
        </w:rPr>
      </w:pPr>
    </w:p>
    <w:p>
      <w:pPr>
        <w:adjustRightInd w:val="0"/>
        <w:snapToGrid w:val="0"/>
        <w:spacing w:line="288" w:lineRule="auto"/>
        <w:outlineLvl w:val="0"/>
        <w:rPr>
          <w:rFonts w:ascii="宋体" w:hAnsi="宋体"/>
          <w:b/>
          <w:sz w:val="21"/>
          <w:szCs w:val="21"/>
        </w:rPr>
      </w:pPr>
      <w:r>
        <w:rPr>
          <w:rFonts w:hint="eastAsia" w:ascii="宋体" w:hAnsi="宋体"/>
          <w:b/>
          <w:sz w:val="21"/>
          <w:szCs w:val="21"/>
        </w:rPr>
        <w:t>说明：本项目专门面向中小企业采购，不再执行价格评审优惠的扶持政策。</w:t>
      </w:r>
    </w:p>
    <w:p>
      <w:pPr>
        <w:adjustRightInd w:val="0"/>
        <w:snapToGrid w:val="0"/>
        <w:spacing w:line="288" w:lineRule="auto"/>
        <w:jc w:val="center"/>
        <w:outlineLvl w:val="0"/>
        <w:rPr>
          <w:rFonts w:ascii="宋体" w:hAnsi="宋体"/>
          <w:b/>
          <w:sz w:val="32"/>
          <w:szCs w:val="32"/>
        </w:rPr>
      </w:pPr>
      <w:r>
        <w:rPr>
          <w:rFonts w:ascii="宋体" w:hAnsi="宋体"/>
          <w:b/>
          <w:bCs/>
          <w:spacing w:val="-6"/>
          <w:sz w:val="21"/>
          <w:szCs w:val="21"/>
        </w:rPr>
        <w:br w:type="page"/>
      </w:r>
      <w:r>
        <w:rPr>
          <w:rFonts w:hint="eastAsia" w:ascii="宋体" w:hAnsi="宋体"/>
          <w:b/>
          <w:bCs/>
          <w:spacing w:val="-6"/>
          <w:sz w:val="32"/>
          <w:szCs w:val="32"/>
        </w:rPr>
        <w:t>第五章  拟签订的合同文本</w:t>
      </w:r>
    </w:p>
    <w:p>
      <w:pPr>
        <w:pStyle w:val="15"/>
        <w:adjustRightInd w:val="0"/>
        <w:snapToGrid w:val="0"/>
        <w:spacing w:beforeLines="0" w:afterLines="0" w:line="288" w:lineRule="auto"/>
        <w:jc w:val="center"/>
        <w:rPr>
          <w:rFonts w:hAnsi="宋体"/>
          <w:b/>
          <w:spacing w:val="-6"/>
          <w:sz w:val="21"/>
          <w:szCs w:val="21"/>
        </w:rPr>
      </w:pPr>
      <w:r>
        <w:rPr>
          <w:rFonts w:hint="eastAsia" w:hAnsi="宋体"/>
          <w:b/>
          <w:spacing w:val="-6"/>
          <w:sz w:val="21"/>
          <w:szCs w:val="21"/>
        </w:rPr>
        <w:t>中国林业科学研究院亚热带林业研究所安全保洁物业服务</w:t>
      </w:r>
    </w:p>
    <w:p>
      <w:pPr>
        <w:pStyle w:val="15"/>
        <w:adjustRightInd w:val="0"/>
        <w:snapToGrid w:val="0"/>
        <w:spacing w:beforeLines="0" w:afterLines="0" w:line="288" w:lineRule="auto"/>
        <w:jc w:val="center"/>
        <w:rPr>
          <w:rFonts w:hAnsi="宋体"/>
          <w:b/>
          <w:spacing w:val="-6"/>
          <w:sz w:val="21"/>
          <w:szCs w:val="21"/>
        </w:rPr>
      </w:pPr>
      <w:r>
        <w:rPr>
          <w:rFonts w:hint="eastAsia" w:hAnsi="宋体"/>
          <w:b/>
          <w:spacing w:val="-6"/>
          <w:sz w:val="21"/>
          <w:szCs w:val="21"/>
        </w:rPr>
        <w:t>采购</w:t>
      </w:r>
      <w:r>
        <w:rPr>
          <w:rFonts w:hAnsi="宋体"/>
          <w:b/>
          <w:spacing w:val="-6"/>
          <w:sz w:val="21"/>
          <w:szCs w:val="21"/>
        </w:rPr>
        <w:t>合同</w:t>
      </w:r>
    </w:p>
    <w:p>
      <w:pPr>
        <w:pStyle w:val="15"/>
        <w:adjustRightInd w:val="0"/>
        <w:snapToGrid w:val="0"/>
        <w:spacing w:beforeLines="0" w:afterLines="0" w:line="288" w:lineRule="auto"/>
        <w:rPr>
          <w:rFonts w:hAnsi="宋体"/>
          <w:sz w:val="21"/>
          <w:szCs w:val="21"/>
        </w:rPr>
      </w:pPr>
    </w:p>
    <w:p>
      <w:pPr>
        <w:adjustRightInd w:val="0"/>
        <w:snapToGrid w:val="0"/>
        <w:spacing w:line="288" w:lineRule="auto"/>
        <w:rPr>
          <w:rFonts w:ascii="宋体" w:hAnsi="宋体"/>
          <w:b/>
          <w:bCs/>
          <w:spacing w:val="-6"/>
          <w:sz w:val="21"/>
          <w:szCs w:val="21"/>
        </w:rPr>
      </w:pPr>
      <w:r>
        <w:rPr>
          <w:rFonts w:hint="eastAsia" w:ascii="宋体" w:hAnsi="宋体"/>
          <w:b/>
          <w:bCs/>
          <w:spacing w:val="-6"/>
          <w:sz w:val="21"/>
          <w:szCs w:val="21"/>
        </w:rPr>
        <w:t>项目名称：安全保洁物业服务</w:t>
      </w:r>
    </w:p>
    <w:p>
      <w:pPr>
        <w:adjustRightInd w:val="0"/>
        <w:snapToGrid w:val="0"/>
        <w:spacing w:line="288" w:lineRule="auto"/>
        <w:rPr>
          <w:rFonts w:hint="eastAsia" w:ascii="宋体" w:hAnsi="宋体" w:eastAsia="宋体"/>
          <w:b/>
          <w:bCs/>
          <w:spacing w:val="-6"/>
          <w:sz w:val="21"/>
          <w:szCs w:val="21"/>
          <w:lang w:eastAsia="zh-CN"/>
        </w:rPr>
      </w:pPr>
      <w:r>
        <w:rPr>
          <w:rFonts w:hint="eastAsia" w:ascii="宋体" w:hAnsi="宋体"/>
          <w:b/>
          <w:bCs/>
          <w:spacing w:val="-6"/>
          <w:sz w:val="21"/>
          <w:szCs w:val="21"/>
        </w:rPr>
        <w:t>项目编号：</w:t>
      </w:r>
      <w:r>
        <w:rPr>
          <w:rFonts w:hint="eastAsia" w:ascii="宋体" w:hAnsi="宋体"/>
          <w:b/>
          <w:bCs/>
          <w:spacing w:val="-6"/>
          <w:sz w:val="21"/>
          <w:szCs w:val="21"/>
          <w:lang w:eastAsia="zh-CN"/>
        </w:rPr>
        <w:t>QSZB-Z(F)-B24035(GK)</w:t>
      </w:r>
    </w:p>
    <w:p>
      <w:pPr>
        <w:adjustRightInd w:val="0"/>
        <w:snapToGrid w:val="0"/>
        <w:spacing w:line="288" w:lineRule="auto"/>
        <w:rPr>
          <w:rFonts w:ascii="宋体" w:hAnsi="宋体"/>
          <w:b/>
          <w:bCs/>
          <w:spacing w:val="-6"/>
          <w:sz w:val="21"/>
          <w:szCs w:val="21"/>
        </w:rPr>
      </w:pPr>
      <w:r>
        <w:rPr>
          <w:rFonts w:hint="eastAsia" w:ascii="宋体" w:hAnsi="宋体"/>
          <w:b/>
          <w:bCs/>
          <w:spacing w:val="-6"/>
          <w:sz w:val="21"/>
          <w:szCs w:val="21"/>
        </w:rPr>
        <w:t>甲方（需方）：中国林业科学研究院亚热带林业研究所</w:t>
      </w:r>
    </w:p>
    <w:p>
      <w:pPr>
        <w:adjustRightInd w:val="0"/>
        <w:snapToGrid w:val="0"/>
        <w:spacing w:line="288" w:lineRule="auto"/>
        <w:rPr>
          <w:rFonts w:ascii="宋体" w:hAnsi="宋体"/>
          <w:b/>
          <w:bCs/>
          <w:spacing w:val="-6"/>
          <w:sz w:val="21"/>
          <w:szCs w:val="21"/>
        </w:rPr>
      </w:pPr>
      <w:r>
        <w:rPr>
          <w:rFonts w:hint="eastAsia" w:ascii="宋体" w:hAnsi="宋体"/>
          <w:b/>
          <w:bCs/>
          <w:spacing w:val="-6"/>
          <w:sz w:val="21"/>
          <w:szCs w:val="21"/>
        </w:rPr>
        <w:t>乙方（供方）：</w:t>
      </w:r>
    </w:p>
    <w:p>
      <w:pPr>
        <w:adjustRightInd w:val="0"/>
        <w:snapToGrid w:val="0"/>
        <w:spacing w:line="288" w:lineRule="auto"/>
        <w:rPr>
          <w:rFonts w:ascii="宋体" w:hAnsi="宋体"/>
          <w:b/>
          <w:bCs/>
          <w:spacing w:val="-6"/>
          <w:sz w:val="21"/>
          <w:szCs w:val="21"/>
        </w:rPr>
      </w:pPr>
      <w:r>
        <w:rPr>
          <w:rFonts w:hint="eastAsia" w:ascii="宋体" w:hAnsi="宋体"/>
          <w:b/>
          <w:bCs/>
          <w:spacing w:val="-6"/>
          <w:sz w:val="21"/>
          <w:szCs w:val="21"/>
        </w:rPr>
        <w:t>采购代理机构：浙江求是招标代理有限公司</w:t>
      </w:r>
    </w:p>
    <w:p>
      <w:pPr>
        <w:adjustRightInd w:val="0"/>
        <w:snapToGrid w:val="0"/>
        <w:spacing w:line="288" w:lineRule="auto"/>
        <w:rPr>
          <w:rFonts w:ascii="宋体" w:hAnsi="宋体"/>
          <w:spacing w:val="-6"/>
          <w:sz w:val="21"/>
          <w:szCs w:val="21"/>
        </w:rPr>
      </w:pPr>
    </w:p>
    <w:p>
      <w:pPr>
        <w:spacing w:line="288" w:lineRule="auto"/>
        <w:ind w:left="-238" w:leftChars="-85" w:right="31" w:rightChars="11" w:firstLine="495" w:firstLineChars="250"/>
        <w:rPr>
          <w:rFonts w:ascii="宋体" w:hAnsi="宋体" w:cs="宋体"/>
          <w:spacing w:val="-6"/>
          <w:sz w:val="21"/>
          <w:szCs w:val="21"/>
        </w:rPr>
      </w:pPr>
      <w:r>
        <w:rPr>
          <w:rFonts w:hint="eastAsia" w:ascii="宋体" w:hAnsi="宋体" w:cs="宋体"/>
          <w:spacing w:val="-6"/>
          <w:sz w:val="21"/>
          <w:szCs w:val="21"/>
        </w:rPr>
        <w:t>浙江求是招标代理有限公司对中国林业科学研究院亚热带林业研究所安全保洁物业服务经过公开招标采购（采购编号：           ），确定＿＿＿＿＿＿为中标单位，甲方、乙方、鉴证方三方根据采购结果，签署本合同。</w:t>
      </w:r>
    </w:p>
    <w:p>
      <w:pPr>
        <w:spacing w:line="288" w:lineRule="auto"/>
        <w:rPr>
          <w:rFonts w:ascii="宋体" w:hAnsi="宋体" w:cs="宋体"/>
          <w:b/>
          <w:color w:val="auto"/>
          <w:spacing w:val="-6"/>
          <w:sz w:val="21"/>
          <w:szCs w:val="21"/>
        </w:rPr>
      </w:pPr>
    </w:p>
    <w:p>
      <w:pPr>
        <w:spacing w:line="288" w:lineRule="auto"/>
        <w:rPr>
          <w:rFonts w:ascii="宋体" w:hAnsi="宋体" w:cs="宋体"/>
          <w:b/>
          <w:color w:val="auto"/>
          <w:spacing w:val="-6"/>
          <w:sz w:val="21"/>
          <w:szCs w:val="21"/>
        </w:rPr>
      </w:pPr>
      <w:r>
        <w:rPr>
          <w:rFonts w:hint="eastAsia" w:ascii="宋体" w:hAnsi="宋体" w:cs="宋体"/>
          <w:b/>
          <w:color w:val="auto"/>
          <w:spacing w:val="-6"/>
          <w:sz w:val="21"/>
          <w:szCs w:val="21"/>
        </w:rPr>
        <w:t>第一条：合同主要服务内容</w:t>
      </w:r>
    </w:p>
    <w:p>
      <w:pPr>
        <w:spacing w:line="288" w:lineRule="auto"/>
        <w:ind w:firstLine="420"/>
        <w:rPr>
          <w:rFonts w:hint="eastAsia" w:ascii="宋体" w:hAnsi="宋体" w:eastAsia="宋体" w:cs="宋体"/>
          <w:bCs/>
          <w:color w:val="auto"/>
          <w:sz w:val="21"/>
          <w:szCs w:val="21"/>
          <w:lang w:eastAsia="zh-CN"/>
        </w:rPr>
      </w:pPr>
      <w:r>
        <w:rPr>
          <w:rFonts w:hint="eastAsia" w:ascii="宋体" w:hAnsi="宋体" w:cs="宋体"/>
          <w:bCs/>
          <w:color w:val="auto"/>
          <w:sz w:val="21"/>
          <w:szCs w:val="21"/>
        </w:rPr>
        <w:t>1）物业范围：用地红线范围内</w:t>
      </w:r>
      <w:r>
        <w:rPr>
          <w:rFonts w:hint="eastAsia" w:ascii="宋体" w:hAnsi="宋体" w:cs="宋体"/>
          <w:bCs/>
          <w:color w:val="auto"/>
          <w:sz w:val="21"/>
          <w:szCs w:val="21"/>
          <w:lang w:eastAsia="zh-CN"/>
        </w:rPr>
        <w:t>。</w:t>
      </w:r>
    </w:p>
    <w:p>
      <w:pPr>
        <w:spacing w:line="288" w:lineRule="auto"/>
        <w:ind w:firstLine="420"/>
        <w:rPr>
          <w:rFonts w:ascii="宋体" w:hAnsi="宋体" w:cs="宋体"/>
          <w:bCs/>
          <w:color w:val="auto"/>
          <w:sz w:val="21"/>
          <w:szCs w:val="21"/>
        </w:rPr>
      </w:pPr>
      <w:r>
        <w:rPr>
          <w:rFonts w:hint="eastAsia" w:ascii="宋体" w:hAnsi="宋体" w:cs="宋体"/>
          <w:bCs/>
          <w:color w:val="auto"/>
          <w:sz w:val="21"/>
          <w:szCs w:val="21"/>
        </w:rPr>
        <w:t>2）主要服务内容</w:t>
      </w:r>
    </w:p>
    <w:p>
      <w:pPr>
        <w:spacing w:line="288" w:lineRule="auto"/>
        <w:ind w:firstLine="371" w:firstLineChars="177"/>
        <w:rPr>
          <w:rFonts w:ascii="宋体" w:hAnsi="宋体" w:cs="宋体"/>
          <w:sz w:val="21"/>
          <w:szCs w:val="21"/>
        </w:rPr>
      </w:pPr>
      <w:r>
        <w:rPr>
          <w:rFonts w:hint="eastAsia" w:ascii="宋体" w:hAnsi="宋体" w:cs="宋体"/>
          <w:sz w:val="21"/>
          <w:szCs w:val="21"/>
        </w:rPr>
        <w:t>（1）安保：值班室值班及文件收发、所大门人车管理、院区治安管理、院区秩序管理、平安院区建设及其他治安相关；</w:t>
      </w:r>
    </w:p>
    <w:p>
      <w:pPr>
        <w:spacing w:line="288" w:lineRule="auto"/>
        <w:ind w:firstLine="371" w:firstLineChars="177"/>
        <w:rPr>
          <w:rFonts w:ascii="宋体" w:hAnsi="宋体" w:cs="宋体"/>
          <w:sz w:val="21"/>
          <w:szCs w:val="21"/>
        </w:rPr>
      </w:pPr>
      <w:r>
        <w:rPr>
          <w:rFonts w:hint="eastAsia" w:ascii="宋体" w:hAnsi="宋体" w:cs="宋体"/>
          <w:sz w:val="21"/>
          <w:szCs w:val="21"/>
        </w:rPr>
        <w:t>（2）消防：室内、外消防设施设备维护、消控值班、消防设施设备定期巡检、消防应急处理、日常火灾预防及其他消防相关；</w:t>
      </w:r>
    </w:p>
    <w:p>
      <w:pPr>
        <w:spacing w:line="288" w:lineRule="auto"/>
        <w:ind w:firstLine="371" w:firstLineChars="177"/>
        <w:rPr>
          <w:rFonts w:ascii="宋体" w:hAnsi="宋体" w:cs="宋体"/>
          <w:sz w:val="21"/>
          <w:szCs w:val="21"/>
        </w:rPr>
      </w:pPr>
      <w:r>
        <w:rPr>
          <w:rFonts w:hint="eastAsia" w:ascii="宋体" w:hAnsi="宋体" w:cs="宋体"/>
          <w:sz w:val="21"/>
          <w:szCs w:val="21"/>
        </w:rPr>
        <w:t>（3）保洁：办公楼及住宅楼公共区域卫生保洁、院区硬化地面保洁、院区绿地杂物清理、垃圾分类及四害防控、楼顶、沟渠清理及其他公共区域卫生相关；</w:t>
      </w:r>
    </w:p>
    <w:p>
      <w:pPr>
        <w:snapToGrid w:val="0"/>
        <w:spacing w:line="288" w:lineRule="auto"/>
        <w:ind w:firstLine="420" w:firstLineChars="200"/>
        <w:rPr>
          <w:rFonts w:ascii="宋体" w:hAnsi="宋体" w:cs="宋体"/>
          <w:spacing w:val="-6"/>
          <w:sz w:val="21"/>
          <w:szCs w:val="21"/>
        </w:rPr>
      </w:pPr>
      <w:r>
        <w:rPr>
          <w:rFonts w:hint="eastAsia" w:ascii="宋体" w:hAnsi="宋体" w:cs="宋体"/>
          <w:sz w:val="21"/>
          <w:szCs w:val="21"/>
        </w:rPr>
        <w:t>（4）会务：会议室保洁、会议设施管护与使用、会议预订与统计、会务服务（会务准备、茶水、话筒等）及其他会务相关。</w:t>
      </w:r>
    </w:p>
    <w:p>
      <w:pPr>
        <w:snapToGrid w:val="0"/>
        <w:spacing w:line="288" w:lineRule="auto"/>
        <w:rPr>
          <w:rFonts w:ascii="宋体" w:hAnsi="宋体" w:cs="宋体"/>
          <w:b/>
          <w:spacing w:val="-6"/>
          <w:sz w:val="21"/>
          <w:szCs w:val="21"/>
        </w:rPr>
      </w:pPr>
      <w:r>
        <w:rPr>
          <w:rFonts w:hint="eastAsia" w:ascii="宋体" w:hAnsi="宋体" w:cs="宋体"/>
          <w:b/>
          <w:spacing w:val="-6"/>
          <w:sz w:val="21"/>
          <w:szCs w:val="21"/>
        </w:rPr>
        <w:t>第二条：物业服务具体内容及技术要求</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物业服务主要涉及治安与秩序、消防、保洁和会务等四方面，服务企业应制定相应综合与专项管理与服务制度，各项日常工作履职应设台账备查。台账至少在服务期内保存完好。在岗人员应统一分类着装，佩戴胸牌，标识明晰。</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1）治安与秩序等管理服务</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（1）人员基本要求</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治安人员数量</w:t>
      </w:r>
      <w:r>
        <w:rPr>
          <w:rFonts w:hint="eastAsia" w:ascii="宋体" w:hAnsi="宋体" w:cs="宋体"/>
          <w:bCs/>
          <w:color w:val="auto"/>
          <w:spacing w:val="-6"/>
          <w:sz w:val="21"/>
          <w:szCs w:val="21"/>
          <w:u w:val="single"/>
          <w:lang w:val="en-US" w:eastAsia="zh-CN"/>
        </w:rPr>
        <w:t xml:space="preserve">     </w:t>
      </w:r>
      <w:r>
        <w:rPr>
          <w:rFonts w:hint="eastAsia" w:ascii="宋体" w:hAnsi="宋体" w:cs="宋体"/>
          <w:bCs/>
          <w:spacing w:val="-6"/>
          <w:sz w:val="21"/>
          <w:szCs w:val="21"/>
        </w:rPr>
        <w:t>人。</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治安管理人员应具备初中及以上学历，身体健康、政治素质好，男性身高原则上不低160cm，女性身高原则上不低于150cm，女性比例不超过30%；平均年龄不超过57岁，且男性最大不超过65岁，女性最大不超过60，55周岁以下人数不低于40%。</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治安管理人员上岗前应针对亚林所安保等实际工作进行岗前培训（包含业务培训和保密培训），并得到亚林所保卫科、后勤中心认可。</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（2）主要服务内容与基本要求</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①传达室：所部传达室24小时值班，实行物业主管或保安队长带班制；河西院区值班室白班值班。</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所部传达室具体内容与要求如下：</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传达室内整齐清洁，无私拉乱接电线和违规使用电器，节约用电，空调使用期间及温度控制符合亚林所节能相关要求。值班电话畅通，不得使用值班电话处理私人事务。</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严格车辆、人员及货物进出管理（具体管理要求由亚林所后勤中心提出）。</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公务文件、报刊、物品等登记、分发准确及时，台账明晰可查，差错率低于1%。公务挂号信、特快专递等须及时传递的邮件，应在收到邮件后的2小时内通知收件人（收件人因故不能按时接收的应做好相关记录）。</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严格监控资料和设备操作资料的保管，无权限人员不得调阅监控资料、接触设备使用说明书、设备使用密码及设备相关资料。查询监控应事先取得保卫科或后勤中心批准。</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值班人员不得从事与值班无关活动，传达室不得开展与规定业务无关的其他事务。</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河西值班室具体要求：</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值班时间07：00-19：00，值班室内清洁整齐，无私拉乱接电线和违规使用电器，节约用电，空调使用期间及温度控制符合亚林所节能相关要求。</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监督、管控进出人员、车辆，无外来无关车辆停放、无关人员进入。</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兼顾河西院区卫生保洁。</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②治安巡查：</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管理区范围（巡更图）内公共区域，工作日上班时段上、下午各巡查1次；工作日非工作时段及非工作日每2小时巡查1次，非巡逻时段加强监控监视，巡逻台账完整准确备查。巡查具体内容及要求：</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发现水、电、气、火等安全隐患，采取应急处置措施，并立即向物业主管及后勤中心报告。</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发现林木种质资源破坏、林地私自挖土取水、公共财物及设施破坏等行为，立即制止，并向物业主管及亚林所保卫科报告。</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发现偷盗、闹事、斗殴、凶杀、投毒、爆炸等违法犯罪活动，立即报警并采取措施制止其行为，同时向亚林所保卫科报告。其中，盗窃、凶案、火灾、投毒、损毁财物以及其他有现场的案件，应妥善保护好现场、协助公安机关调查。</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按亚林所相关规定严格控制办公楼非工作时段人员进出。</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节假日、非工作时段巡查时应增加重要部门、要害部位如水泵房、财务室、档案室、配电房、车库等、质检中心、危化品仓库等巡查次数，并做好巡查台帐。</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③秩序管理：</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值班人员及巡查人员应结合目视和监控视频随时巡查管理区秩序，发现违规及时处置，具体要求如下：</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管理区内机动、非机动车辆按指定位置停放。办公区违规停放车辆应及发现并处理。每年清查僵尸车辆。</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管理区特别是办公区无闲杂人聚集，不出现广场舞活动等聚焦活动。遛狗、赤膊、随地小便、随意践踏绿地等不文明行为以及其他干扰或影响正常办公的活动应及时发现并处理。</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每小时巡视(现场或目视)办公区1次，未及时制止违规行为视同未巡视、未发现。</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④其他要求：</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积极完成亚林所交办安保相关其他工作及治安应急处置工作。</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积极配合派出所等治安管理机关工作。</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2）消防管理服务</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（1）消控室值班人员基本要求</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持证人员</w:t>
      </w:r>
      <w:r>
        <w:rPr>
          <w:rFonts w:hint="eastAsia" w:ascii="宋体" w:hAnsi="宋体" w:cs="宋体"/>
          <w:bCs/>
          <w:color w:val="auto"/>
          <w:spacing w:val="-6"/>
          <w:sz w:val="21"/>
          <w:szCs w:val="21"/>
          <w:u w:val="single"/>
          <w:lang w:val="en-US" w:eastAsia="zh-CN"/>
        </w:rPr>
        <w:t xml:space="preserve">     </w:t>
      </w:r>
      <w:r>
        <w:rPr>
          <w:rFonts w:hint="eastAsia" w:ascii="宋体" w:hAnsi="宋体" w:cs="宋体"/>
          <w:bCs/>
          <w:spacing w:val="-6"/>
          <w:sz w:val="21"/>
          <w:szCs w:val="21"/>
        </w:rPr>
        <w:t>人，并符合应急管理部门要求，消防控室值班人员持证上岗,年龄男性不超过65岁，女性不超过60岁，接受上岗培训并得到亚林所保卫科认可。</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实验楼消控值班人员应熟悉实验楼及其他楼宇消防系统操作程序，并结合定期消防检查开展实际操作演练，接受亚林所保卫科检验。</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实验楼消控值班人员应熟练操作治安监控设备，发现治安相关问题及时通报门卫值班室处理，并做好台账备查。</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实验楼消控值班人员应具保密意识，拒绝无关人员出入消控室、调阅监控资料。</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（2）主要服务内容与基本要求</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承担管理区消防日常巡查、配合开展消防设施设备检查维护及保卫科、后勤中心安排的其他相关工作。</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①消防负责人及管理制度建设</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建立消防制度体系，指定专职负责人，具体要求：指定消防负责人。消防负责人应持有消防员资格证，熟悉消防法规及消防应急处置流程与措施，负责组织消防日报、月报填报。消防负责人应组织建立消防工作制度体系，建立消防应急预案，消防制度及应急预案应进场后1个月内提交业主单位备案。</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②常规消防设施管理</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结合治安巡逻，做好日常消防巡查，具体要求如下：每月对室外的消防栓、消防泵、各楼层消防栓等设备进行巡查，是否有埋压或损坏、缺失和失效等情况，并张贴警示标识，并做好巡查台帐。发现老化需要更新的各种设施设备应及时提出更新建议，报亚林所后勤中心安全员。</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每月对各楼层的灭火器进行检查，是否有压力不足或缺少等情况并做好巡查记录，发现不合格灭火器及时向后勤中心报告，并协助更新。</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每日结合治安巡查，每日巡查非机动车充电情况，发现非车动车棚外私拉电线充电，没收充电器，报告亚林所保卫科。</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③办公楼消控系统管理</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亚林所重点消防部位，以监控室为主体做好每日监控巡查，配合做好定期例行检查维护，具体要求如下：消控室24小时值班，持证上岗。消控室不得放置与工作无关物品，保持整洁、安全，监控室内严禁吸烟，保持消控、监控设施和对讲系统保持24小时通畅。</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消控室收到火情、险情及其他异常情况报警信号后，立即派专人到现场调查并进行处理，同时向亚林所保卫科、后勤中心报告，并视险情决定是否报警。严格监控资料和设备操作资料的保管，无权限人员不得调阅监控资料、接触设备使用说明书、设备使用密码及设备相关资料。</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配合维保单定期对办公楼消防系统进行维修保养。</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每月定期对各楼层的排烟通风口、消防通道进行检查，是否有遮挡或堵塞；各楼层的疏散指示标志及照明设施是否有损坏或缺少等情况，发现异常，及时处理或报告。</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④消防演练</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组建队伍，按计划演练，保证应急处置能力，具体要求如下：组建由安保人员组成的预备消防队，按照消防应急预案，每半年至少培训、演练消防设施设备使用方法及火灾事故应急处置措施1次，并建立演练台帐，演练后总结报告提交亚林所保卫科、后勤中心备案。配合亚林所相关部门开展消防演练。</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3）卫生保洁服务</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（1）人员基本要求：</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人员总量</w:t>
      </w:r>
      <w:r>
        <w:rPr>
          <w:rFonts w:hint="eastAsia" w:ascii="宋体" w:hAnsi="宋体" w:cs="宋体"/>
          <w:bCs/>
          <w:color w:val="auto"/>
          <w:spacing w:val="-6"/>
          <w:sz w:val="21"/>
          <w:szCs w:val="21"/>
          <w:u w:val="single"/>
          <w:lang w:val="en-US" w:eastAsia="zh-CN"/>
        </w:rPr>
        <w:t xml:space="preserve">     </w:t>
      </w:r>
      <w:r>
        <w:rPr>
          <w:rFonts w:hint="eastAsia" w:ascii="宋体" w:hAnsi="宋体" w:cs="宋体"/>
          <w:bCs/>
          <w:spacing w:val="-6"/>
          <w:sz w:val="21"/>
          <w:szCs w:val="21"/>
        </w:rPr>
        <w:t>人。</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保洁人员应身体、心理健康，耐心细致，有较好的政治思想素质和业务水平，具有较强的保密意识。</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保洁人员工作时间不得聚集闲聊，大声喧哗。不得大声接打电话、大音量外放手机、收音机等。</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保洁人员不得占用公共空间存放杂物。</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（2）主要服务内容与基本要求</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承担楼宇内公共区域及指定办公室卫生保洁，室外道路、非道路地面及其他构建物等卫生保洁工作。</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①办公楼内公共区域：</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循环巡查，随时保洁，保持公共区域目视无杂污物，整体干净明亮。具体要求如下：</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门厅、通道、地下室等地面、墙壁、天花板、门：保持地面无灰尘、污渍、杂物，工作日地面每天上、下午至少各清洁1次，上午保洁原则上应在上班前完成；保持墙壁、天花板、门无明显灰尘、蜘蛛网、脱落表皮，每月至少清扫1次；过道垃圾筒、烟灰筒等结合地面保洁同步清理。</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卫生间：保持卫生间地面、便池、坐便器/蹲坑、墙壁/隔板、洗手台、天花板、门窗干净、整洁，无异味、无积渍，特别关注会议室楼层厕所。地面、便池、坐便器/蹲坑工作日每天上、下午至少各保洁1次，地面干爽无积水，便池、坐便器/蹲坑无杂物、污垢；墙壁、隔板、天花板、门窗无明显灰尘、污渍、蜘蛛网等杂物，每月至少清洁1次；洗手台干爽、清洁无污渍，随时保洁，洗手液不空缺；厕纸少量多次投放，不浪费、无短缺。</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楼梯：保持楼梯清洁无灰尘、无蜘蛛网等。楼梯地面及扶手工作日每天上、下午至少各清洁1次。楼梯窗户至少每季清洁1次。</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电梯：保持电梯轿厢清洁、光亮，壁、顶、地面、按键等保洁频率同办公楼通道，同时检查电梯门滑轨槽，保持无异物；轿厢壁、顶等每季使用保护剂上光保护1次、每月清理出风口1次。</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办公楼顶排水沟、办公楼雨棚：楼顶排水沟每季巡查1次，保持清洁、排水通畅，台风季、初冬落叶集中季增加巡查、清理次数；办公楼雨棚原则上每季清洗1次，视实际清洁程序增加次数。</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②室外公共区域地面</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保持室外公共区域干净整洁，具体要求如下：</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道路、停车场、建筑物周边等地面：保持地面整洁，无明显垃圾、树叶及其他杂物。每日清扫，其中办公区视地面清洁情况，增加清扫次数；路面杂草等随时拔除、清除，非生活垃圾及杂物当日清理至集中存放点。</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研究生公寓及流动公寓楼道：保持整洁，无杂物堆放，地面、扶手每周至少清扫、抹擦1次。墙壁、天花等每月除尘一次，无蜘蛛网。</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绿地：保持院区绿地、路边绿化带整洁无杂物。结合地面清扫，清理绿地、绿化带上垃圾、枝叶等杂物，秋冬落叶季增加办公区草坪、绿地落叶清扫频次。</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③其他构筑物</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保持院区其他构筑物整洁，具体要求如下：</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车棚：停车棚顶每季清扫至少1次，无明显枝叶或杂物堆积。</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排水沟渠：保持管理区排水明沟渠通畅，每年至少清理2次，其中雨季前必须清理1次；排水沟渠相邻边坡杂生植物每年清理至少2次（初夏、秋季）。</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宣传橱窗：保持宣传橱窗干净整齐，每季至少擦抹玻璃及立柱、清扫棚顶等1次。</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④垃圾分类及四害防控</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严格落实垃圾分类管理规定和四害防控要求，协助做好非生活及其他大件垃圾清运，做好除大件非生活垃圾外的其他垃圾分类清运及四害防控，具体要求如下：</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研究生及流动公寓生活垃圾：实行定时定点投放，按规定分类处理，日产日清。生活垃圾桶每日清洗。</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办公区垃圾：规范设置分类垃圾桶及相应标识，工作日日产日清，重大活动随时清理。周末及节假日安排保洁值班，不出现满桶、外逸及散落。</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垃圾房：保持垃圾房内及周边干净整齐，地面清爽无积水、无明显污渍。室内不得存放除垃圾桶及清洁用具外的其他物品。</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四害防控：按社区及疾控等部门及所后勤中心要求，组织白蚁防控及老鼠、蟑螂、蚊子、苍蝇等“四害”防治。发现公共卫生事件时，在地方疾控及亚林所后勤中心等指导下组织实施消毒隔离等措施。</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⑤其他</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按亚林所后勤中心要求，做好其他临时性、突发性卫生保洁及相关工作。</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4）会务服务</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（1）会务人员</w:t>
      </w:r>
      <w:r>
        <w:rPr>
          <w:rFonts w:hint="eastAsia" w:ascii="宋体" w:hAnsi="宋体" w:cs="宋体"/>
          <w:bCs/>
          <w:color w:val="auto"/>
          <w:spacing w:val="-6"/>
          <w:sz w:val="21"/>
          <w:szCs w:val="21"/>
          <w:u w:val="single"/>
          <w:lang w:val="en-US" w:eastAsia="zh-CN"/>
        </w:rPr>
        <w:t xml:space="preserve">     </w:t>
      </w:r>
      <w:r>
        <w:rPr>
          <w:rFonts w:hint="eastAsia" w:ascii="宋体" w:hAnsi="宋体" w:cs="宋体"/>
          <w:bCs/>
          <w:spacing w:val="-6"/>
          <w:sz w:val="21"/>
          <w:szCs w:val="21"/>
        </w:rPr>
        <w:t>人</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（2）会务人员基本要求</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女性，身高150cm以上，年龄原则上不超过55周岁、高中以上文化水平，细心热情，仪表端庄、举止文明、知晓相关礼仪，有保密意识，接受专业培训。严格按会务服务工作手册开展服务。</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会务人员选聘应会同亚林所综合办、后勤中心共同商定；会务员由服务企业与后勤中共同管理；会务人员需保持稳定，不宜频繁变动。</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（3）会务服务内容与基本要求</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所部办公区公共会议室的会务服务，包括会议室卫生保洁（含门窗、玻璃）、会议室桌椅排放、茶水服务、会务音响系统使用等。具体要求如下：</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保持会议室清洁、整齐、无异味，会议用品齐全、功能完好；</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建立会议室使用记录档案。</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保守会议机密，在会议前要了解该会议的保密程度，以决定如何参与会议的服务。</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会前提前检查会议室桌椅、话筒、照明、投影等，开门通风；会间根据会议类别提供相应茶水服务；会后及时清理会议桌面，打扫卫生，关闭供电、门窗等。</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每月全面清扫会议室墙壁、门窗等1次，保持室内无明显积尘、蜘蛛网及其他杂污物；每年清洗桌布、窗帘一次。</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重复使用茶杯具等每次清洗干净、消毒。</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重大活动或会议参与会场布置和会后清理。</w:t>
      </w:r>
    </w:p>
    <w:p>
      <w:pPr>
        <w:snapToGrid w:val="0"/>
        <w:spacing w:line="288" w:lineRule="auto"/>
        <w:ind w:firstLine="398" w:firstLineChars="200"/>
        <w:rPr>
          <w:rFonts w:ascii="宋体" w:hAnsi="宋体" w:cs="宋体"/>
          <w:b/>
          <w:spacing w:val="-6"/>
          <w:sz w:val="21"/>
          <w:szCs w:val="21"/>
        </w:rPr>
      </w:pPr>
      <w:r>
        <w:rPr>
          <w:rFonts w:hint="eastAsia" w:ascii="宋体" w:hAnsi="宋体" w:cs="宋体"/>
          <w:b/>
          <w:spacing w:val="-6"/>
          <w:sz w:val="21"/>
          <w:szCs w:val="21"/>
        </w:rPr>
        <w:t>第三条、监督考评</w:t>
      </w:r>
    </w:p>
    <w:p>
      <w:pPr>
        <w:snapToGrid w:val="0"/>
        <w:spacing w:line="288" w:lineRule="auto"/>
        <w:ind w:firstLine="396" w:firstLineChars="200"/>
        <w:rPr>
          <w:rFonts w:hint="eastAsia" w:ascii="宋体" w:hAnsi="宋体" w:cs="宋体"/>
          <w:bCs/>
          <w:spacing w:val="-6"/>
          <w:sz w:val="21"/>
          <w:szCs w:val="21"/>
          <w:lang w:eastAsia="zh-CN"/>
        </w:rPr>
      </w:pPr>
      <w:r>
        <w:rPr>
          <w:rFonts w:hint="eastAsia" w:ascii="宋体" w:hAnsi="宋体" w:cs="宋体"/>
          <w:bCs/>
          <w:spacing w:val="-6"/>
          <w:sz w:val="21"/>
          <w:szCs w:val="21"/>
        </w:rPr>
        <w:t>物业履约考评采用计分制，由日常监督和综合评价组成，满分100分，其中日常监督占15%，综合评价点85%。另设附加分及否决项。年度考核总分低于（含）70分，不再续签服务合同，高于70分（不含）可在本次招标有效期内续签合同</w:t>
      </w:r>
      <w:r>
        <w:rPr>
          <w:rFonts w:hint="eastAsia" w:ascii="宋体" w:hAnsi="宋体" w:cs="宋体"/>
          <w:bCs/>
          <w:spacing w:val="-6"/>
          <w:sz w:val="21"/>
          <w:szCs w:val="21"/>
          <w:lang w:eastAsia="zh-CN"/>
        </w:rPr>
        <w:t>。</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1）日常监督：后勤中心及物业监督工作组负责物业服务企业履约日常监督，及时反馈整改或提升意见建议，不定期约谈负责人，推进高质量履约。</w:t>
      </w:r>
    </w:p>
    <w:p>
      <w:pPr>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2）综合评价：综合评价每年秋季进行，面向全所以问卷形式进行，评价内容对照服务合同，重点是服务质量和满意度。</w:t>
      </w:r>
    </w:p>
    <w:p>
      <w:pPr>
        <w:snapToGrid w:val="0"/>
        <w:spacing w:line="288" w:lineRule="auto"/>
        <w:ind w:firstLine="396" w:firstLineChars="200"/>
        <w:rPr>
          <w:rFonts w:ascii="宋体" w:hAnsi="宋体" w:eastAsia="宋体" w:cs="宋体"/>
          <w:bCs/>
          <w:spacing w:val="-6"/>
          <w:sz w:val="21"/>
          <w:szCs w:val="21"/>
        </w:rPr>
      </w:pPr>
      <w:r>
        <w:rPr>
          <w:rFonts w:hint="eastAsia" w:ascii="宋体" w:hAnsi="宋体" w:cs="宋体"/>
          <w:bCs/>
          <w:spacing w:val="-6"/>
          <w:sz w:val="21"/>
          <w:szCs w:val="21"/>
        </w:rPr>
        <w:t>3）附加分及否决项：服务重大活动、应对突发事件及承担额外重要安排事项等成效</w:t>
      </w:r>
      <w:r>
        <w:rPr>
          <w:rFonts w:hint="eastAsia" w:ascii="宋体" w:hAnsi="宋体" w:eastAsia="宋体" w:cs="宋体"/>
          <w:bCs/>
          <w:spacing w:val="-6"/>
          <w:sz w:val="21"/>
          <w:szCs w:val="21"/>
        </w:rPr>
        <w:t>显著，视具体情况给予1-5分附加份/项，累计上限10分。</w:t>
      </w:r>
    </w:p>
    <w:p>
      <w:pPr>
        <w:snapToGrid w:val="0"/>
        <w:spacing w:line="288" w:lineRule="auto"/>
        <w:ind w:firstLine="396" w:firstLineChars="200"/>
        <w:rPr>
          <w:rFonts w:hint="eastAsia" w:ascii="宋体" w:hAnsi="宋体" w:eastAsia="宋体" w:cs="宋体"/>
          <w:bCs/>
          <w:spacing w:val="-6"/>
          <w:sz w:val="21"/>
          <w:szCs w:val="21"/>
        </w:rPr>
      </w:pPr>
      <w:r>
        <w:rPr>
          <w:rFonts w:hint="eastAsia" w:ascii="宋体" w:hAnsi="宋体" w:eastAsia="宋体" w:cs="宋体"/>
          <w:bCs/>
          <w:spacing w:val="-6"/>
          <w:sz w:val="21"/>
          <w:szCs w:val="21"/>
        </w:rPr>
        <w:t>4）</w:t>
      </w:r>
      <w:r>
        <w:rPr>
          <w:rFonts w:hint="eastAsia" w:ascii="宋体" w:hAnsi="宋体" w:eastAsia="宋体" w:cs="宋体"/>
          <w:bCs/>
          <w:spacing w:val="-6"/>
          <w:sz w:val="21"/>
          <w:szCs w:val="21"/>
          <w:lang w:val="en-US" w:eastAsia="zh-CN"/>
        </w:rPr>
        <w:t>监督处罚：</w:t>
      </w:r>
      <w:r>
        <w:rPr>
          <w:rFonts w:hint="eastAsia" w:ascii="宋体" w:hAnsi="宋体" w:eastAsia="宋体" w:cs="宋体"/>
          <w:bCs/>
          <w:spacing w:val="-6"/>
          <w:sz w:val="21"/>
          <w:szCs w:val="21"/>
        </w:rPr>
        <w:t>出现持续性未认真履约或经常性出现较明显瑕疵，当月扣1-3分；出现较明显工作失误，造成一定负面影响，扣3-5分/次；出现重大过失或失误，造成人身伤亡或重大财务损失，终止合同，并追究相应民事、刑事责任。因服务不到位导致的扣分，每1分按合同金额0.2%予以罚款，从当季服务费中扣除。</w:t>
      </w:r>
    </w:p>
    <w:p>
      <w:pPr>
        <w:snapToGrid w:val="0"/>
        <w:spacing w:line="288" w:lineRule="auto"/>
        <w:rPr>
          <w:rFonts w:ascii="宋体" w:hAnsi="宋体" w:cs="宋体"/>
          <w:b/>
          <w:spacing w:val="-6"/>
          <w:sz w:val="21"/>
          <w:szCs w:val="21"/>
        </w:rPr>
      </w:pPr>
      <w:r>
        <w:rPr>
          <w:rFonts w:hint="eastAsia" w:ascii="宋体" w:hAnsi="宋体" w:cs="宋体"/>
          <w:b/>
          <w:spacing w:val="-6"/>
          <w:sz w:val="21"/>
          <w:szCs w:val="21"/>
        </w:rPr>
        <w:t>第四条、技术资料</w:t>
      </w:r>
    </w:p>
    <w:p>
      <w:pPr>
        <w:snapToGrid w:val="0"/>
        <w:spacing w:line="288" w:lineRule="auto"/>
        <w:ind w:firstLine="396" w:firstLineChars="200"/>
        <w:rPr>
          <w:rFonts w:ascii="宋体" w:hAnsi="宋体" w:cs="宋体"/>
          <w:spacing w:val="-6"/>
          <w:sz w:val="21"/>
          <w:szCs w:val="21"/>
        </w:rPr>
      </w:pPr>
      <w:r>
        <w:rPr>
          <w:rFonts w:hint="eastAsia" w:ascii="宋体" w:hAnsi="宋体" w:cs="宋体"/>
          <w:spacing w:val="-6"/>
          <w:sz w:val="21"/>
          <w:szCs w:val="21"/>
        </w:rPr>
        <w:t>1.乙方应按招投标文件规定的时间向甲方提供合同服务的有关技术资料和必备的附件。</w:t>
      </w:r>
    </w:p>
    <w:p>
      <w:pPr>
        <w:snapToGrid w:val="0"/>
        <w:spacing w:line="288" w:lineRule="auto"/>
        <w:ind w:firstLine="396" w:firstLineChars="200"/>
        <w:rPr>
          <w:rFonts w:ascii="宋体" w:hAnsi="宋体" w:cs="宋体"/>
          <w:spacing w:val="-6"/>
          <w:sz w:val="21"/>
          <w:szCs w:val="21"/>
        </w:rPr>
      </w:pPr>
      <w:r>
        <w:rPr>
          <w:rFonts w:hint="eastAsia" w:ascii="宋体" w:hAnsi="宋体" w:cs="宋体"/>
          <w:spacing w:val="-6"/>
          <w:sz w:val="21"/>
          <w:szCs w:val="21"/>
        </w:rPr>
        <w:t>2.没有甲方事先书面同意，乙方不得将由甲方提供的有关合同或任何合同条文、规格、计划、图纸、样品或资料提供给与履行本合同无关的任何其他人。即使向履行本合同有关的人员提供，也应注意保密并限于履行合同的必需范围。</w:t>
      </w:r>
    </w:p>
    <w:p>
      <w:pPr>
        <w:snapToGrid w:val="0"/>
        <w:spacing w:line="288" w:lineRule="auto"/>
        <w:ind w:left="340" w:hanging="340" w:hangingChars="171"/>
        <w:rPr>
          <w:rFonts w:ascii="宋体" w:hAnsi="宋体" w:cs="宋体"/>
          <w:b/>
          <w:spacing w:val="-6"/>
          <w:sz w:val="21"/>
          <w:szCs w:val="21"/>
        </w:rPr>
      </w:pPr>
      <w:r>
        <w:rPr>
          <w:rFonts w:hint="eastAsia" w:ascii="宋体" w:hAnsi="宋体" w:cs="宋体"/>
          <w:b/>
          <w:spacing w:val="-6"/>
          <w:sz w:val="21"/>
          <w:szCs w:val="21"/>
        </w:rPr>
        <w:t>第五条、知识产权</w:t>
      </w:r>
    </w:p>
    <w:p>
      <w:pPr>
        <w:snapToGrid w:val="0"/>
        <w:spacing w:line="288" w:lineRule="auto"/>
        <w:ind w:firstLine="396" w:firstLineChars="200"/>
        <w:rPr>
          <w:rFonts w:ascii="宋体" w:hAnsi="宋体" w:cs="宋体"/>
          <w:spacing w:val="-6"/>
          <w:sz w:val="21"/>
          <w:szCs w:val="21"/>
        </w:rPr>
      </w:pPr>
      <w:r>
        <w:rPr>
          <w:rFonts w:hint="eastAsia" w:ascii="宋体" w:hAnsi="宋体" w:cs="宋体"/>
          <w:spacing w:val="-6"/>
          <w:sz w:val="21"/>
          <w:szCs w:val="21"/>
        </w:rPr>
        <w:t>乙方应保证所提供的货物或其任何一部分均不会侵犯任何第三方的知识产权，由此产生的任何知识产权纠纷由乙方承担全部责任。</w:t>
      </w:r>
    </w:p>
    <w:p>
      <w:pPr>
        <w:snapToGrid w:val="0"/>
        <w:spacing w:line="288" w:lineRule="auto"/>
        <w:ind w:left="340" w:hanging="340" w:hangingChars="171"/>
        <w:rPr>
          <w:rFonts w:ascii="宋体" w:hAnsi="宋体" w:cs="宋体"/>
          <w:b/>
          <w:spacing w:val="-6"/>
          <w:sz w:val="21"/>
          <w:szCs w:val="21"/>
        </w:rPr>
      </w:pPr>
      <w:r>
        <w:rPr>
          <w:rFonts w:hint="eastAsia" w:ascii="宋体" w:hAnsi="宋体" w:cs="宋体"/>
          <w:b/>
          <w:spacing w:val="-6"/>
          <w:sz w:val="21"/>
          <w:szCs w:val="21"/>
        </w:rPr>
        <w:t>第六条：服务时间、地点</w:t>
      </w:r>
    </w:p>
    <w:p>
      <w:pPr>
        <w:snapToGrid w:val="0"/>
        <w:spacing w:line="288" w:lineRule="auto"/>
        <w:ind w:firstLine="396" w:firstLineChars="200"/>
        <w:rPr>
          <w:rFonts w:ascii="宋体" w:hAnsi="宋体" w:cs="宋体"/>
          <w:spacing w:val="-6"/>
          <w:sz w:val="21"/>
          <w:szCs w:val="21"/>
        </w:rPr>
      </w:pPr>
      <w:r>
        <w:rPr>
          <w:rFonts w:hint="eastAsia" w:ascii="宋体" w:hAnsi="宋体" w:cs="宋体"/>
          <w:spacing w:val="-6"/>
          <w:sz w:val="21"/>
          <w:szCs w:val="21"/>
        </w:rPr>
        <w:t>服务时间：</w:t>
      </w:r>
      <w:r>
        <w:rPr>
          <w:rFonts w:hint="eastAsia" w:ascii="宋体" w:hAnsi="宋体" w:cs="宋体"/>
          <w:spacing w:val="-6"/>
          <w:sz w:val="21"/>
          <w:szCs w:val="21"/>
          <w:u w:val="single"/>
        </w:rPr>
        <w:t xml:space="preserve">  年  月  日至  年  月  日</w:t>
      </w:r>
    </w:p>
    <w:p>
      <w:pPr>
        <w:snapToGrid w:val="0"/>
        <w:spacing w:line="288" w:lineRule="auto"/>
        <w:ind w:firstLine="396" w:firstLineChars="200"/>
        <w:rPr>
          <w:rFonts w:ascii="宋体" w:hAnsi="宋体" w:cs="宋体"/>
          <w:spacing w:val="-6"/>
          <w:sz w:val="21"/>
          <w:szCs w:val="21"/>
        </w:rPr>
      </w:pPr>
      <w:r>
        <w:rPr>
          <w:rFonts w:hint="eastAsia" w:ascii="宋体" w:hAnsi="宋体" w:cs="宋体"/>
          <w:spacing w:val="-6"/>
          <w:sz w:val="21"/>
          <w:szCs w:val="21"/>
        </w:rPr>
        <w:t>服务地点：甲方指定地点。</w:t>
      </w:r>
    </w:p>
    <w:p>
      <w:pPr>
        <w:snapToGrid w:val="0"/>
        <w:spacing w:line="288" w:lineRule="auto"/>
        <w:rPr>
          <w:rFonts w:ascii="宋体" w:hAnsi="宋体" w:cs="宋体"/>
          <w:b/>
          <w:spacing w:val="-6"/>
          <w:sz w:val="21"/>
          <w:szCs w:val="21"/>
        </w:rPr>
      </w:pPr>
      <w:r>
        <w:rPr>
          <w:rFonts w:hint="eastAsia" w:ascii="宋体" w:hAnsi="宋体" w:cs="宋体"/>
          <w:b/>
          <w:spacing w:val="-6"/>
          <w:sz w:val="21"/>
          <w:szCs w:val="21"/>
        </w:rPr>
        <w:t>第七条：货款的支付</w:t>
      </w:r>
    </w:p>
    <w:p>
      <w:pPr>
        <w:spacing w:line="360" w:lineRule="auto"/>
        <w:ind w:firstLine="396" w:firstLineChars="200"/>
        <w:rPr>
          <w:rFonts w:ascii="宋体" w:hAnsi="宋体" w:cs="宋体"/>
          <w:spacing w:val="-6"/>
          <w:sz w:val="21"/>
          <w:szCs w:val="21"/>
        </w:rPr>
      </w:pPr>
      <w:r>
        <w:rPr>
          <w:rFonts w:hint="eastAsia" w:ascii="宋体" w:hAnsi="宋体" w:cs="宋体"/>
          <w:spacing w:val="-6"/>
          <w:sz w:val="21"/>
          <w:szCs w:val="21"/>
        </w:rPr>
        <w:t>1.履约保证金：</w:t>
      </w:r>
    </w:p>
    <w:p>
      <w:pPr>
        <w:spacing w:line="360" w:lineRule="auto"/>
        <w:ind w:firstLine="396" w:firstLineChars="200"/>
        <w:rPr>
          <w:rFonts w:ascii="宋体" w:hAnsi="宋体" w:cs="宋体"/>
          <w:spacing w:val="-6"/>
          <w:sz w:val="21"/>
          <w:szCs w:val="21"/>
        </w:rPr>
      </w:pPr>
      <w:r>
        <w:rPr>
          <w:rFonts w:hint="eastAsia" w:ascii="宋体" w:hAnsi="宋体" w:cs="宋体"/>
          <w:spacing w:val="-6"/>
          <w:sz w:val="21"/>
          <w:szCs w:val="21"/>
        </w:rPr>
        <w:t>1.1合同签订后一周内，乙方向甲方提交合同总价</w:t>
      </w:r>
      <w:r>
        <w:rPr>
          <w:rFonts w:hint="eastAsia" w:ascii="宋体" w:hAnsi="宋体" w:cs="宋体"/>
          <w:spacing w:val="-6"/>
          <w:sz w:val="21"/>
          <w:szCs w:val="21"/>
          <w:lang w:val="en-US" w:eastAsia="zh-CN"/>
        </w:rPr>
        <w:t>5</w:t>
      </w:r>
      <w:r>
        <w:rPr>
          <w:rFonts w:hint="eastAsia" w:ascii="宋体" w:hAnsi="宋体" w:cs="宋体"/>
          <w:spacing w:val="-6"/>
          <w:sz w:val="21"/>
          <w:szCs w:val="21"/>
        </w:rPr>
        <w:t>%的履约保证金，履约保证金在合同履约期间无违约情形的，项目验收结束后，于一周内退还（不计息）；</w:t>
      </w:r>
    </w:p>
    <w:p>
      <w:pPr>
        <w:spacing w:line="360" w:lineRule="auto"/>
        <w:ind w:firstLine="396" w:firstLineChars="200"/>
        <w:rPr>
          <w:rFonts w:ascii="宋体" w:hAnsi="宋体" w:cs="宋体"/>
          <w:color w:val="auto"/>
          <w:spacing w:val="-6"/>
          <w:sz w:val="21"/>
          <w:szCs w:val="21"/>
        </w:rPr>
      </w:pPr>
      <w:r>
        <w:rPr>
          <w:rFonts w:hint="eastAsia" w:ascii="宋体" w:hAnsi="宋体" w:cs="宋体"/>
          <w:spacing w:val="-6"/>
          <w:sz w:val="21"/>
          <w:szCs w:val="21"/>
        </w:rPr>
        <w:t>1.2提交方式：支票、汇票、本票或金融机构、</w:t>
      </w:r>
      <w:r>
        <w:rPr>
          <w:rFonts w:hint="eastAsia" w:ascii="宋体" w:hAnsi="宋体" w:cs="宋体"/>
          <w:color w:val="auto"/>
          <w:spacing w:val="-6"/>
          <w:sz w:val="21"/>
          <w:szCs w:val="21"/>
        </w:rPr>
        <w:t>担保机构出具的保函等非现金形式。</w:t>
      </w:r>
    </w:p>
    <w:p>
      <w:pPr>
        <w:spacing w:line="360" w:lineRule="auto"/>
        <w:ind w:firstLine="396" w:firstLineChars="200"/>
        <w:rPr>
          <w:rFonts w:hint="eastAsia" w:ascii="Calibri" w:hAnsi="宋体"/>
          <w:color w:val="auto"/>
          <w:spacing w:val="-6"/>
          <w:sz w:val="21"/>
          <w:szCs w:val="21"/>
        </w:rPr>
      </w:pPr>
      <w:r>
        <w:rPr>
          <w:rFonts w:hint="eastAsia" w:ascii="宋体" w:hAnsi="宋体" w:cs="宋体"/>
          <w:color w:val="auto"/>
          <w:spacing w:val="-6"/>
          <w:sz w:val="21"/>
          <w:szCs w:val="21"/>
        </w:rPr>
        <w:t>2.按</w:t>
      </w:r>
      <w:r>
        <w:rPr>
          <w:rFonts w:hint="eastAsia" w:ascii="Calibri" w:hAnsi="宋体"/>
          <w:color w:val="auto"/>
          <w:spacing w:val="-6"/>
          <w:sz w:val="21"/>
          <w:szCs w:val="21"/>
        </w:rPr>
        <w:t>季支付，自物业服务开始当月计算，每季末甲方向乙方支付当季费用。</w:t>
      </w:r>
    </w:p>
    <w:p>
      <w:pPr>
        <w:spacing w:line="360" w:lineRule="auto"/>
        <w:ind w:firstLine="396" w:firstLineChars="200"/>
        <w:rPr>
          <w:rFonts w:hint="default" w:ascii="Calibri" w:hAnsi="宋体" w:eastAsia="宋体"/>
          <w:color w:val="auto"/>
          <w:spacing w:val="-6"/>
          <w:sz w:val="21"/>
          <w:szCs w:val="21"/>
          <w:lang w:val="en-US" w:eastAsia="zh-CN"/>
        </w:rPr>
      </w:pPr>
      <w:r>
        <w:rPr>
          <w:rFonts w:hint="eastAsia" w:ascii="Calibri" w:hAnsi="宋体"/>
          <w:color w:val="auto"/>
          <w:spacing w:val="-6"/>
          <w:sz w:val="21"/>
          <w:szCs w:val="21"/>
          <w:lang w:val="en-US" w:eastAsia="zh-CN"/>
        </w:rPr>
        <w:t>注：续签合同中所有资金支付和履约事项与本合同一致。</w:t>
      </w:r>
    </w:p>
    <w:p>
      <w:pPr>
        <w:adjustRightInd w:val="0"/>
        <w:snapToGrid w:val="0"/>
        <w:spacing w:line="288" w:lineRule="auto"/>
        <w:rPr>
          <w:rFonts w:ascii="宋体" w:hAnsi="宋体" w:cs="宋体"/>
          <w:b/>
          <w:color w:val="auto"/>
          <w:spacing w:val="-6"/>
          <w:sz w:val="21"/>
          <w:szCs w:val="21"/>
        </w:rPr>
      </w:pPr>
      <w:r>
        <w:rPr>
          <w:rFonts w:hint="eastAsia" w:ascii="宋体" w:hAnsi="宋体" w:cs="宋体"/>
          <w:b/>
          <w:color w:val="auto"/>
          <w:spacing w:val="-6"/>
          <w:sz w:val="21"/>
          <w:szCs w:val="21"/>
        </w:rPr>
        <w:t>第八条：甲方权利义务</w:t>
      </w:r>
    </w:p>
    <w:p>
      <w:pPr>
        <w:adjustRightInd w:val="0"/>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1.审定乙方物业管理制度，监督检查制度执行；</w:t>
      </w:r>
    </w:p>
    <w:p>
      <w:pPr>
        <w:adjustRightInd w:val="0"/>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2.审定乙方物业管理服务年度计划，检查监督计划实施，组织对乙方履职进行评价；</w:t>
      </w:r>
    </w:p>
    <w:p>
      <w:pPr>
        <w:adjustRightInd w:val="0"/>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5.收集、整理物业管理所需图纸、档案、资料，根据管理需要向乙方提供房屋相关资料和设备、设施的安装、使用和维护保养技术资料；</w:t>
      </w:r>
    </w:p>
    <w:p>
      <w:pPr>
        <w:adjustRightInd w:val="0"/>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6.按期支付物业管理费用；</w:t>
      </w:r>
    </w:p>
    <w:p>
      <w:pPr>
        <w:adjustRightInd w:val="0"/>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7.在不可预见的情况下，如发生煤气泄漏、漏电、火灾、救助人命、协助公安机关执行任务等突发事件的，甲方应积极指导、配合乙方采取必要的紧急避险措施。</w:t>
      </w:r>
    </w:p>
    <w:p>
      <w:pPr>
        <w:adjustRightInd w:val="0"/>
        <w:snapToGrid w:val="0"/>
        <w:spacing w:line="288" w:lineRule="auto"/>
        <w:rPr>
          <w:rFonts w:ascii="宋体" w:hAnsi="宋体" w:cs="宋体"/>
          <w:b/>
          <w:spacing w:val="-6"/>
          <w:sz w:val="21"/>
          <w:szCs w:val="21"/>
        </w:rPr>
      </w:pPr>
      <w:r>
        <w:rPr>
          <w:rFonts w:hint="eastAsia" w:ascii="宋体" w:hAnsi="宋体" w:cs="宋体"/>
          <w:b/>
          <w:spacing w:val="-6"/>
          <w:sz w:val="21"/>
          <w:szCs w:val="21"/>
        </w:rPr>
        <w:t>第九条：乙方权利义务</w:t>
      </w:r>
    </w:p>
    <w:p>
      <w:pPr>
        <w:adjustRightInd w:val="0"/>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1.按本合同约定及时获得物业服务费。</w:t>
      </w:r>
    </w:p>
    <w:p>
      <w:pPr>
        <w:adjustRightInd w:val="0"/>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2.履职本合同规定的物业服务过程中，发生治安、消防及其他突发事件或处置需要甲方支持和配合事项时，甲方应及时提出充分支撑和指导，否则相应减少或降低乙方责任。</w:t>
      </w:r>
    </w:p>
    <w:p>
      <w:pPr>
        <w:adjustRightInd w:val="0"/>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3.及时获取卫生保洁用品及治安、消防等应由甲方承担的维修维护支持，否则应相应减、免除乙方责任。</w:t>
      </w:r>
    </w:p>
    <w:p>
      <w:pPr>
        <w:adjustRightInd w:val="0"/>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4.根据有关法律法规及本合同的约定，制订物业管理制度、方案，根据甲方核定的物业管理制度、方案自主开展物业日常管理服务活动；</w:t>
      </w:r>
    </w:p>
    <w:p>
      <w:pPr>
        <w:adjustRightInd w:val="0"/>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5.编制物业管理年度管理计划报甲方核定；</w:t>
      </w:r>
    </w:p>
    <w:p>
      <w:pPr>
        <w:adjustRightInd w:val="0"/>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6.保证从事本项目的人员具备相应的职业资格和应有的素质要求。乙方应确保团队人员的稳定，如需调整技术骨干应事先通报甲方，对甲方提出认为不适合的在岗人员，乙方应做出相应调整。乙方在聘用、任命、调整、调换有关主要管理服务人员之前，须征得甲方同意。在实施物业管理管理工作过程中，若乙方对响应时及合同中承诺的服务人员安排情况自行变动而未经甲方同意的，将按照违约处理，情况严重者，甲方有权终止合同。</w:t>
      </w:r>
    </w:p>
    <w:p>
      <w:pPr>
        <w:adjustRightInd w:val="0"/>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7.合同期间，乙方派出本项目的项目总负责人和各部门主管不得在其他项目中同时任职。</w:t>
      </w:r>
    </w:p>
    <w:p>
      <w:pPr>
        <w:adjustRightInd w:val="0"/>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8.乙方应负责派遣人员的培训（包括但不限于礼仪、保密、安全、爱护财物等），并制定有效的管理措施，做好派遣人员的管理工作，并按国家和内部有关规定及时发放工作人员的工资及福利待遇等。严格遵守《民法典》劳动合同等相关规定，保障员工合法权益。</w:t>
      </w:r>
    </w:p>
    <w:p>
      <w:pPr>
        <w:adjustRightInd w:val="0"/>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9.乙方员工在工作时应做到爱护财物，如造成损坏，将负责予以赔偿。因乙方未教育好属下员工而造成甲方财产损失由乙方负责赔偿。</w:t>
      </w:r>
    </w:p>
    <w:p>
      <w:pPr>
        <w:adjustRightInd w:val="0"/>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10.乙方员工在工作中如发现公共设备设施损坏时应主动及时通知甲方，并协助做好维护维修工作。</w:t>
      </w:r>
    </w:p>
    <w:p>
      <w:pPr>
        <w:adjustRightInd w:val="0"/>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11.当甲方员工或外来人员违反规定进入管理区时，乙方管理人员有权进行劝阻、制止，情节严重的建议由甲方处理。</w:t>
      </w:r>
    </w:p>
    <w:p>
      <w:pPr>
        <w:adjustRightInd w:val="0"/>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12.乙方应对突发事件或自然灾害的等做好处理预案，当遇突发事件或自然灾害时，应边查处边向甲方分管领导汇报，且必须服从甲方指挥与安排。在遇台汛和大暴雨时，应规定在岗的物管人员按所管辖区域迅速查看雨水等相关情况，一旦发生渗水、积水、设施设备损坏等，应立即采取相应措施，并及时报告甲方。</w:t>
      </w:r>
    </w:p>
    <w:p>
      <w:pPr>
        <w:adjustRightInd w:val="0"/>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13.项目负责人主动与甲方进行工作联系，协调甲乙双方之关系，接受甲方的各项工作要求。定期主动到甲方主管部门征求工作意见，并切实改进提高。</w:t>
      </w:r>
    </w:p>
    <w:p>
      <w:pPr>
        <w:adjustRightInd w:val="0"/>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14.建立物业管理档案，做好台账记录，按年度立卷归档。建立物业服务中心内部管理制度和考核制度，做好内部管理和考核。</w:t>
      </w:r>
    </w:p>
    <w:p>
      <w:pPr>
        <w:adjustRightInd w:val="0"/>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15.合同终止时，乙方应向甲方提交物业管理总结报告。在约定时间内向甲方移交房屋、物料、设备、工具、档案和图纸资料；所有移交的内容都应有清单并由双方签收；全部手续完成后签署移交确认书。</w:t>
      </w:r>
    </w:p>
    <w:p>
      <w:pPr>
        <w:adjustRightInd w:val="0"/>
        <w:snapToGrid w:val="0"/>
        <w:spacing w:line="288" w:lineRule="auto"/>
        <w:ind w:firstLine="396" w:firstLineChars="200"/>
        <w:rPr>
          <w:rFonts w:ascii="宋体" w:hAnsi="宋体" w:cs="宋体"/>
          <w:b/>
          <w:spacing w:val="-6"/>
          <w:sz w:val="21"/>
          <w:szCs w:val="21"/>
        </w:rPr>
      </w:pPr>
      <w:r>
        <w:rPr>
          <w:rFonts w:hint="eastAsia" w:ascii="宋体" w:hAnsi="宋体" w:cs="宋体"/>
          <w:bCs/>
          <w:spacing w:val="-6"/>
          <w:sz w:val="21"/>
          <w:szCs w:val="21"/>
        </w:rPr>
        <w:t>16.按法律规定或经双方商定应由乙方承担的其他责任和义务。</w:t>
      </w:r>
    </w:p>
    <w:p>
      <w:pPr>
        <w:adjustRightInd w:val="0"/>
        <w:snapToGrid w:val="0"/>
        <w:spacing w:line="288" w:lineRule="auto"/>
        <w:rPr>
          <w:rFonts w:ascii="宋体" w:hAnsi="宋体" w:cs="宋体"/>
          <w:b/>
          <w:spacing w:val="-6"/>
          <w:sz w:val="21"/>
          <w:szCs w:val="21"/>
        </w:rPr>
      </w:pPr>
      <w:r>
        <w:rPr>
          <w:rFonts w:hint="eastAsia" w:ascii="宋体" w:hAnsi="宋体" w:cs="宋体"/>
          <w:b/>
          <w:spacing w:val="-6"/>
          <w:sz w:val="21"/>
          <w:szCs w:val="21"/>
        </w:rPr>
        <w:t>第十条：安全责任</w:t>
      </w:r>
    </w:p>
    <w:p>
      <w:pPr>
        <w:adjustRightInd w:val="0"/>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乙方对履行本合同约定职责相关生产安全负全部责任。包括但不限于：</w:t>
      </w:r>
    </w:p>
    <w:p>
      <w:pPr>
        <w:adjustRightInd w:val="0"/>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1、制定内部安全生产规章制度、操作规程及安全生产事故应急预案；</w:t>
      </w:r>
    </w:p>
    <w:p>
      <w:pPr>
        <w:adjustRightInd w:val="0"/>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2、在与员工订立的劳动合同中约定劳动安全事项，依法参加工伤保险等法定义务；</w:t>
      </w:r>
    </w:p>
    <w:p>
      <w:pPr>
        <w:adjustRightInd w:val="0"/>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3、组织员工进行安全培训、教育，并如实记录教育和培训情况；组织应急救援演练；</w:t>
      </w:r>
    </w:p>
    <w:p>
      <w:pPr>
        <w:adjustRightInd w:val="0"/>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4、监督员工严格执行安全作业规定，并经常性进行检查，及时整改和纠正安全隐患；</w:t>
      </w:r>
    </w:p>
    <w:p>
      <w:pPr>
        <w:adjustRightInd w:val="0"/>
        <w:snapToGrid w:val="0"/>
        <w:spacing w:line="288" w:lineRule="auto"/>
        <w:ind w:firstLine="396" w:firstLineChars="200"/>
        <w:rPr>
          <w:rFonts w:ascii="宋体" w:hAnsi="宋体" w:cs="宋体"/>
          <w:bCs/>
          <w:spacing w:val="-6"/>
          <w:sz w:val="21"/>
          <w:szCs w:val="21"/>
        </w:rPr>
      </w:pPr>
      <w:r>
        <w:rPr>
          <w:rFonts w:hint="eastAsia" w:ascii="宋体" w:hAnsi="宋体" w:cs="宋体"/>
          <w:bCs/>
          <w:spacing w:val="-6"/>
          <w:sz w:val="21"/>
          <w:szCs w:val="21"/>
        </w:rPr>
        <w:t>5、积极配合安全生产监督部门的安全监督检查，不得拒绝、阻挠。</w:t>
      </w:r>
    </w:p>
    <w:p>
      <w:pPr>
        <w:snapToGrid w:val="0"/>
        <w:spacing w:line="288" w:lineRule="auto"/>
        <w:ind w:right="-686" w:rightChars="-245"/>
        <w:rPr>
          <w:rFonts w:ascii="宋体" w:hAnsi="宋体" w:cs="宋体"/>
          <w:b/>
          <w:spacing w:val="-6"/>
          <w:sz w:val="21"/>
          <w:szCs w:val="21"/>
        </w:rPr>
      </w:pPr>
      <w:r>
        <w:rPr>
          <w:rFonts w:hint="eastAsia" w:ascii="宋体" w:hAnsi="宋体" w:cs="宋体"/>
          <w:b/>
          <w:spacing w:val="-6"/>
          <w:sz w:val="21"/>
          <w:szCs w:val="21"/>
        </w:rPr>
        <w:t>第八条：违约责任</w:t>
      </w:r>
    </w:p>
    <w:p>
      <w:pPr>
        <w:snapToGrid w:val="0"/>
        <w:spacing w:line="288" w:lineRule="auto"/>
        <w:ind w:firstLine="396" w:firstLineChars="200"/>
        <w:rPr>
          <w:rFonts w:ascii="宋体" w:hAnsi="宋体" w:cs="宋体"/>
          <w:spacing w:val="-6"/>
          <w:sz w:val="21"/>
          <w:szCs w:val="21"/>
        </w:rPr>
      </w:pPr>
      <w:r>
        <w:rPr>
          <w:rFonts w:hint="eastAsia" w:ascii="宋体" w:hAnsi="宋体" w:cs="宋体"/>
          <w:spacing w:val="-6"/>
          <w:sz w:val="21"/>
          <w:szCs w:val="21"/>
        </w:rPr>
        <w:t>1.乙方逾期履行合同的，自逾期之日起，向甲方每日偿付合同总价千分之五的滞纳金。</w:t>
      </w:r>
    </w:p>
    <w:p>
      <w:pPr>
        <w:snapToGrid w:val="0"/>
        <w:spacing w:line="288" w:lineRule="auto"/>
        <w:ind w:firstLine="396" w:firstLineChars="200"/>
        <w:rPr>
          <w:rFonts w:ascii="宋体" w:hAnsi="宋体" w:cs="宋体"/>
          <w:spacing w:val="-6"/>
          <w:sz w:val="21"/>
          <w:szCs w:val="21"/>
        </w:rPr>
      </w:pPr>
      <w:r>
        <w:rPr>
          <w:rFonts w:hint="eastAsia" w:ascii="宋体" w:hAnsi="宋体" w:cs="宋体"/>
          <w:spacing w:val="-6"/>
          <w:sz w:val="21"/>
          <w:szCs w:val="21"/>
        </w:rPr>
        <w:t>2.甲方逾期支付款项的，自逾期之日起，向乙方每日偿付未付价款千分之五的滞纳金。</w:t>
      </w:r>
    </w:p>
    <w:p>
      <w:pPr>
        <w:snapToGrid w:val="0"/>
        <w:spacing w:line="288" w:lineRule="auto"/>
        <w:ind w:firstLine="396" w:firstLineChars="200"/>
        <w:rPr>
          <w:rFonts w:ascii="宋体" w:hAnsi="宋体" w:cs="宋体"/>
          <w:spacing w:val="-6"/>
          <w:sz w:val="21"/>
          <w:szCs w:val="21"/>
        </w:rPr>
      </w:pPr>
      <w:r>
        <w:rPr>
          <w:rFonts w:hint="eastAsia" w:ascii="宋体" w:hAnsi="宋体" w:cs="宋体"/>
          <w:spacing w:val="-6"/>
          <w:sz w:val="21"/>
          <w:szCs w:val="21"/>
        </w:rPr>
        <w:t>3.乙方所提供的服务质量不符合合同规定及招投标文件规定标准的，甲方有权拒绝接受服务，乙方愿意更换服务的，按乙方逾期履行合同处理。乙方拒绝更换服务的，甲方可单方面解除合同，同时没收乙方的履约保证金。</w:t>
      </w:r>
    </w:p>
    <w:p>
      <w:pPr>
        <w:snapToGrid w:val="0"/>
        <w:spacing w:line="288" w:lineRule="auto"/>
        <w:rPr>
          <w:rFonts w:ascii="宋体" w:hAnsi="宋体" w:cs="宋体"/>
          <w:b/>
          <w:spacing w:val="-6"/>
          <w:sz w:val="21"/>
          <w:szCs w:val="21"/>
        </w:rPr>
      </w:pPr>
      <w:r>
        <w:rPr>
          <w:rFonts w:hint="eastAsia" w:ascii="宋体" w:hAnsi="宋体" w:cs="宋体"/>
          <w:b/>
          <w:spacing w:val="-6"/>
          <w:sz w:val="21"/>
          <w:szCs w:val="21"/>
        </w:rPr>
        <w:t>第九条：不可抗力事件处理</w:t>
      </w:r>
    </w:p>
    <w:p>
      <w:pPr>
        <w:snapToGrid w:val="0"/>
        <w:spacing w:line="288" w:lineRule="auto"/>
        <w:ind w:right="31" w:rightChars="11" w:firstLine="396" w:firstLineChars="200"/>
        <w:rPr>
          <w:rFonts w:ascii="宋体" w:hAnsi="宋体" w:cs="宋体"/>
          <w:spacing w:val="-6"/>
          <w:sz w:val="21"/>
          <w:szCs w:val="21"/>
        </w:rPr>
      </w:pPr>
      <w:r>
        <w:rPr>
          <w:rFonts w:hint="eastAsia" w:ascii="宋体" w:hAnsi="宋体" w:cs="宋体"/>
          <w:spacing w:val="-6"/>
          <w:sz w:val="21"/>
          <w:szCs w:val="21"/>
        </w:rPr>
        <w:t>1.在合同有效期内，任何一方因不可抗力事件导致不能履行合同，则合同履行期可延长，其延长期与不可抗力影响期相同。</w:t>
      </w:r>
    </w:p>
    <w:p>
      <w:pPr>
        <w:snapToGrid w:val="0"/>
        <w:spacing w:line="288" w:lineRule="auto"/>
        <w:ind w:right="31" w:rightChars="11" w:firstLine="396" w:firstLineChars="200"/>
        <w:rPr>
          <w:rFonts w:ascii="宋体" w:hAnsi="宋体" w:cs="宋体"/>
          <w:spacing w:val="-6"/>
          <w:sz w:val="21"/>
          <w:szCs w:val="21"/>
        </w:rPr>
      </w:pPr>
      <w:r>
        <w:rPr>
          <w:rFonts w:hint="eastAsia" w:ascii="宋体" w:hAnsi="宋体" w:cs="宋体"/>
          <w:spacing w:val="-6"/>
          <w:sz w:val="21"/>
          <w:szCs w:val="21"/>
        </w:rPr>
        <w:t>2.不可抗力事件发生后，应立即通知对方，并寄送有关权威机构出具的证明。</w:t>
      </w:r>
    </w:p>
    <w:p>
      <w:pPr>
        <w:snapToGrid w:val="0"/>
        <w:spacing w:line="288" w:lineRule="auto"/>
        <w:ind w:right="31" w:rightChars="11" w:firstLine="396" w:firstLineChars="200"/>
        <w:rPr>
          <w:rFonts w:ascii="宋体" w:hAnsi="宋体" w:cs="宋体"/>
          <w:spacing w:val="-6"/>
          <w:sz w:val="21"/>
          <w:szCs w:val="21"/>
        </w:rPr>
      </w:pPr>
      <w:r>
        <w:rPr>
          <w:rFonts w:hint="eastAsia" w:ascii="宋体" w:hAnsi="宋体" w:cs="宋体"/>
          <w:spacing w:val="-6"/>
          <w:sz w:val="21"/>
          <w:szCs w:val="21"/>
        </w:rPr>
        <w:t>3.不可抗力事件延续120天以上，双方应通过友好协商，确定是否继续履行合同。</w:t>
      </w:r>
    </w:p>
    <w:p>
      <w:pPr>
        <w:snapToGrid w:val="0"/>
        <w:spacing w:line="288" w:lineRule="auto"/>
        <w:ind w:right="-686" w:rightChars="-245"/>
        <w:rPr>
          <w:rFonts w:ascii="宋体" w:hAnsi="宋体" w:cs="宋体"/>
          <w:b/>
          <w:spacing w:val="-6"/>
          <w:sz w:val="21"/>
          <w:szCs w:val="21"/>
        </w:rPr>
      </w:pPr>
      <w:r>
        <w:rPr>
          <w:rFonts w:hint="eastAsia" w:ascii="宋体" w:hAnsi="宋体" w:cs="宋体"/>
          <w:b/>
          <w:spacing w:val="-6"/>
          <w:sz w:val="21"/>
          <w:szCs w:val="21"/>
        </w:rPr>
        <w:t>第十条：争议解决</w:t>
      </w:r>
    </w:p>
    <w:p>
      <w:pPr>
        <w:snapToGrid w:val="0"/>
        <w:spacing w:line="288" w:lineRule="auto"/>
        <w:ind w:right="31" w:rightChars="11" w:firstLine="396" w:firstLineChars="200"/>
        <w:rPr>
          <w:rFonts w:ascii="宋体" w:hAnsi="宋体" w:cs="宋体"/>
          <w:spacing w:val="-6"/>
          <w:sz w:val="21"/>
          <w:szCs w:val="21"/>
        </w:rPr>
      </w:pPr>
      <w:r>
        <w:rPr>
          <w:rFonts w:hint="eastAsia" w:ascii="宋体" w:hAnsi="宋体" w:cs="宋体"/>
          <w:spacing w:val="-6"/>
          <w:sz w:val="21"/>
          <w:szCs w:val="21"/>
        </w:rPr>
        <w:t>本合同未尽事宜由三方协商解决，并签订必要的书面协议。如协商不成，三方同意将本合同引起的争议提交杭州仲裁委员会仲裁解决，仲裁为终局。</w:t>
      </w:r>
    </w:p>
    <w:p>
      <w:pPr>
        <w:snapToGrid w:val="0"/>
        <w:spacing w:line="288" w:lineRule="auto"/>
        <w:ind w:right="-686" w:rightChars="-245"/>
        <w:rPr>
          <w:rFonts w:ascii="宋体" w:hAnsi="宋体" w:cs="宋体"/>
          <w:b/>
          <w:spacing w:val="-6"/>
          <w:sz w:val="21"/>
          <w:szCs w:val="21"/>
        </w:rPr>
      </w:pPr>
      <w:r>
        <w:rPr>
          <w:rFonts w:hint="eastAsia" w:ascii="宋体" w:hAnsi="宋体" w:cs="宋体"/>
          <w:b/>
          <w:spacing w:val="-6"/>
          <w:sz w:val="21"/>
          <w:szCs w:val="21"/>
        </w:rPr>
        <w:t>第十一条：合同生效</w:t>
      </w:r>
    </w:p>
    <w:p>
      <w:pPr>
        <w:snapToGrid w:val="0"/>
        <w:spacing w:line="288" w:lineRule="auto"/>
        <w:ind w:right="31" w:rightChars="11" w:firstLine="396" w:firstLineChars="200"/>
        <w:rPr>
          <w:rFonts w:ascii="宋体" w:hAnsi="宋体" w:cs="宋体"/>
          <w:spacing w:val="-6"/>
          <w:sz w:val="21"/>
          <w:szCs w:val="21"/>
        </w:rPr>
      </w:pPr>
      <w:r>
        <w:rPr>
          <w:rFonts w:hint="eastAsia" w:ascii="宋体" w:hAnsi="宋体" w:cs="宋体"/>
          <w:spacing w:val="-6"/>
          <w:sz w:val="21"/>
          <w:szCs w:val="21"/>
        </w:rPr>
        <w:t>1.合同经甲方、乙方和鉴证方（采购代理机构）法定代表人或授权代表签字并加盖叁方单位公章，甲方收到乙方提交的履约保证金后生效。</w:t>
      </w:r>
    </w:p>
    <w:p>
      <w:pPr>
        <w:snapToGrid w:val="0"/>
        <w:spacing w:line="288" w:lineRule="auto"/>
        <w:ind w:right="31" w:rightChars="11" w:firstLine="396" w:firstLineChars="200"/>
        <w:rPr>
          <w:rFonts w:ascii="宋体" w:hAnsi="宋体" w:cs="宋体"/>
          <w:spacing w:val="-6"/>
          <w:sz w:val="21"/>
          <w:szCs w:val="21"/>
        </w:rPr>
      </w:pPr>
      <w:r>
        <w:rPr>
          <w:rFonts w:hint="eastAsia" w:ascii="宋体" w:hAnsi="宋体" w:cs="宋体"/>
          <w:spacing w:val="-6"/>
          <w:sz w:val="21"/>
          <w:szCs w:val="21"/>
        </w:rPr>
        <w:t>2.合同执行中涉及采购资金和采购内容修改或补充的，须经财政部门审批，并签书面补充协议报政府采购监督管理部门备案，方可作为主合同不可分割的一部分。</w:t>
      </w:r>
    </w:p>
    <w:p>
      <w:pPr>
        <w:snapToGrid w:val="0"/>
        <w:spacing w:line="288" w:lineRule="auto"/>
        <w:ind w:right="31" w:rightChars="11" w:firstLine="396" w:firstLineChars="200"/>
        <w:rPr>
          <w:rFonts w:ascii="宋体" w:hAnsi="宋体" w:cs="宋体"/>
          <w:spacing w:val="-6"/>
          <w:sz w:val="21"/>
          <w:szCs w:val="21"/>
        </w:rPr>
      </w:pPr>
      <w:r>
        <w:rPr>
          <w:rFonts w:hint="eastAsia" w:ascii="宋体" w:hAnsi="宋体" w:cs="宋体"/>
          <w:spacing w:val="-6"/>
          <w:sz w:val="21"/>
          <w:szCs w:val="21"/>
        </w:rPr>
        <w:t>3.本合同未尽事宜，遵照《中华人民共和国民法典》有关条文执行。</w:t>
      </w:r>
    </w:p>
    <w:p>
      <w:pPr>
        <w:snapToGrid w:val="0"/>
        <w:spacing w:line="288" w:lineRule="auto"/>
        <w:ind w:right="31" w:rightChars="11" w:firstLine="396" w:firstLineChars="200"/>
        <w:rPr>
          <w:rFonts w:ascii="宋体" w:hAnsi="宋体" w:cs="宋体"/>
          <w:spacing w:val="-6"/>
          <w:sz w:val="21"/>
          <w:szCs w:val="21"/>
        </w:rPr>
      </w:pPr>
      <w:r>
        <w:rPr>
          <w:rFonts w:hint="eastAsia" w:ascii="宋体" w:hAnsi="宋体" w:cs="宋体"/>
          <w:spacing w:val="-6"/>
          <w:sz w:val="21"/>
          <w:szCs w:val="21"/>
        </w:rPr>
        <w:t>4.本合同一式陆份，乙方、鉴证方(采购代理机构)各执壹份，甲方执肆份。</w:t>
      </w:r>
    </w:p>
    <w:p>
      <w:pPr>
        <w:snapToGrid w:val="0"/>
        <w:spacing w:line="288" w:lineRule="auto"/>
        <w:ind w:right="31" w:rightChars="11" w:firstLine="396" w:firstLineChars="200"/>
        <w:rPr>
          <w:rFonts w:ascii="宋体" w:hAnsi="宋体" w:cs="宋体"/>
          <w:spacing w:val="-6"/>
          <w:sz w:val="21"/>
          <w:szCs w:val="21"/>
        </w:rPr>
      </w:pPr>
      <w:r>
        <w:rPr>
          <w:rFonts w:hint="eastAsia" w:ascii="宋体" w:hAnsi="宋体" w:cs="宋体"/>
          <w:spacing w:val="-6"/>
          <w:sz w:val="21"/>
          <w:szCs w:val="21"/>
        </w:rPr>
        <w:t>5.相关招投标文件、询标承诺等与本合同具有同等法律效力。</w:t>
      </w:r>
    </w:p>
    <w:tbl>
      <w:tblPr>
        <w:tblStyle w:val="24"/>
        <w:tblW w:w="8712" w:type="dxa"/>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02"/>
        <w:gridCol w:w="41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2" w:hRule="atLeast"/>
        </w:trPr>
        <w:tc>
          <w:tcPr>
            <w:tcW w:w="4602" w:type="dxa"/>
            <w:vAlign w:val="center"/>
          </w:tcPr>
          <w:p>
            <w:pPr>
              <w:spacing w:line="288" w:lineRule="auto"/>
              <w:rPr>
                <w:rFonts w:ascii="宋体" w:hAnsi="宋体" w:cs="宋体"/>
                <w:spacing w:val="-6"/>
                <w:sz w:val="21"/>
                <w:szCs w:val="21"/>
              </w:rPr>
            </w:pPr>
            <w:r>
              <w:rPr>
                <w:rFonts w:hint="eastAsia" w:ascii="宋体" w:hAnsi="宋体" w:cs="宋体"/>
                <w:spacing w:val="-6"/>
                <w:sz w:val="21"/>
                <w:szCs w:val="21"/>
              </w:rPr>
              <w:t>甲方（需方）：公章（或合同专用章）</w:t>
            </w:r>
          </w:p>
        </w:tc>
        <w:tc>
          <w:tcPr>
            <w:tcW w:w="4110" w:type="dxa"/>
            <w:vAlign w:val="center"/>
          </w:tcPr>
          <w:p>
            <w:pPr>
              <w:spacing w:line="288" w:lineRule="auto"/>
              <w:rPr>
                <w:rFonts w:ascii="宋体" w:hAnsi="宋体" w:cs="宋体"/>
                <w:spacing w:val="-6"/>
                <w:sz w:val="21"/>
                <w:szCs w:val="21"/>
              </w:rPr>
            </w:pPr>
            <w:r>
              <w:rPr>
                <w:rFonts w:hint="eastAsia" w:ascii="宋体" w:hAnsi="宋体" w:cs="宋体"/>
                <w:spacing w:val="-6"/>
                <w:sz w:val="21"/>
                <w:szCs w:val="21"/>
              </w:rPr>
              <w:t>乙方（供方）：公章（或合同专用章）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7" w:hRule="atLeast"/>
        </w:trPr>
        <w:tc>
          <w:tcPr>
            <w:tcW w:w="4602" w:type="dxa"/>
            <w:vAlign w:val="center"/>
          </w:tcPr>
          <w:p>
            <w:pPr>
              <w:rPr>
                <w:rFonts w:ascii="宋体" w:hAnsi="宋体" w:cs="宋体"/>
                <w:spacing w:val="-6"/>
                <w:sz w:val="21"/>
                <w:szCs w:val="21"/>
              </w:rPr>
            </w:pPr>
            <w:r>
              <w:rPr>
                <w:rFonts w:hint="eastAsia" w:ascii="宋体" w:hAnsi="宋体" w:cs="宋体"/>
                <w:spacing w:val="-6"/>
                <w:sz w:val="21"/>
                <w:szCs w:val="21"/>
              </w:rPr>
              <w:t>甲方法定代表人或受委托人(签字）：</w:t>
            </w:r>
          </w:p>
          <w:p>
            <w:pPr>
              <w:spacing w:line="288" w:lineRule="auto"/>
              <w:rPr>
                <w:rFonts w:ascii="宋体" w:hAnsi="宋体" w:cs="宋体"/>
                <w:spacing w:val="-6"/>
                <w:sz w:val="21"/>
                <w:szCs w:val="21"/>
              </w:rPr>
            </w:pPr>
          </w:p>
        </w:tc>
        <w:tc>
          <w:tcPr>
            <w:tcW w:w="4110" w:type="dxa"/>
            <w:vAlign w:val="center"/>
          </w:tcPr>
          <w:p>
            <w:pPr>
              <w:spacing w:line="288" w:lineRule="auto"/>
              <w:rPr>
                <w:rFonts w:ascii="宋体" w:hAnsi="宋体" w:cs="宋体"/>
                <w:spacing w:val="-6"/>
                <w:sz w:val="21"/>
                <w:szCs w:val="21"/>
              </w:rPr>
            </w:pPr>
            <w:r>
              <w:rPr>
                <w:rFonts w:hint="eastAsia" w:ascii="宋体" w:hAnsi="宋体" w:cs="宋体"/>
                <w:spacing w:val="-6"/>
                <w:sz w:val="21"/>
                <w:szCs w:val="21"/>
              </w:rPr>
              <w:t>方法定代表人或受委托人(签字）：</w:t>
            </w:r>
          </w:p>
          <w:p>
            <w:pPr>
              <w:spacing w:line="288" w:lineRule="auto"/>
              <w:rPr>
                <w:rFonts w:ascii="宋体" w:hAnsi="宋体" w:cs="宋体"/>
                <w:spacing w:val="-6"/>
                <w:sz w:val="21"/>
                <w:szCs w:val="21"/>
              </w:rPr>
            </w:pPr>
            <w:r>
              <w:rPr>
                <w:rFonts w:hint="eastAsia" w:ascii="宋体" w:hAnsi="宋体" w:cs="宋体"/>
                <w:spacing w:val="-6"/>
                <w:sz w:val="21"/>
                <w:szCs w:val="21"/>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7" w:hRule="atLeast"/>
        </w:trPr>
        <w:tc>
          <w:tcPr>
            <w:tcW w:w="4602" w:type="dxa"/>
            <w:vAlign w:val="center"/>
          </w:tcPr>
          <w:p>
            <w:pPr>
              <w:spacing w:line="288" w:lineRule="auto"/>
              <w:rPr>
                <w:rFonts w:ascii="宋体" w:hAnsi="宋体" w:cs="宋体"/>
                <w:spacing w:val="-6"/>
                <w:sz w:val="21"/>
                <w:szCs w:val="21"/>
              </w:rPr>
            </w:pPr>
            <w:r>
              <w:rPr>
                <w:rFonts w:hint="eastAsia" w:ascii="宋体" w:hAnsi="宋体" w:cs="宋体"/>
                <w:spacing w:val="-6"/>
                <w:sz w:val="21"/>
                <w:szCs w:val="21"/>
              </w:rPr>
              <w:t>甲方项目负责人(签字）：</w:t>
            </w:r>
          </w:p>
        </w:tc>
        <w:tc>
          <w:tcPr>
            <w:tcW w:w="4110" w:type="dxa"/>
            <w:vAlign w:val="center"/>
          </w:tcPr>
          <w:p>
            <w:pPr>
              <w:spacing w:line="288" w:lineRule="auto"/>
              <w:rPr>
                <w:rFonts w:ascii="宋体" w:hAnsi="宋体" w:cs="宋体"/>
                <w:spacing w:val="-6"/>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2" w:type="dxa"/>
            <w:vAlign w:val="center"/>
          </w:tcPr>
          <w:p>
            <w:pPr>
              <w:spacing w:line="288" w:lineRule="auto"/>
              <w:rPr>
                <w:rFonts w:ascii="宋体" w:hAnsi="宋体" w:cs="宋体"/>
                <w:spacing w:val="-6"/>
                <w:sz w:val="21"/>
                <w:szCs w:val="21"/>
              </w:rPr>
            </w:pPr>
            <w:r>
              <w:rPr>
                <w:rFonts w:hint="eastAsia" w:ascii="宋体" w:hAnsi="宋体" w:cs="宋体"/>
                <w:spacing w:val="-6"/>
                <w:sz w:val="21"/>
                <w:szCs w:val="21"/>
              </w:rPr>
              <w:t xml:space="preserve">地址： </w:t>
            </w:r>
          </w:p>
        </w:tc>
        <w:tc>
          <w:tcPr>
            <w:tcW w:w="4110" w:type="dxa"/>
            <w:vAlign w:val="center"/>
          </w:tcPr>
          <w:p>
            <w:pPr>
              <w:spacing w:line="288" w:lineRule="auto"/>
              <w:rPr>
                <w:rFonts w:ascii="宋体" w:hAnsi="宋体" w:cs="宋体"/>
                <w:spacing w:val="-6"/>
                <w:sz w:val="21"/>
                <w:szCs w:val="21"/>
              </w:rPr>
            </w:pPr>
            <w:r>
              <w:rPr>
                <w:rFonts w:hint="eastAsia" w:ascii="宋体" w:hAnsi="宋体" w:cs="宋体"/>
                <w:spacing w:val="-6"/>
                <w:sz w:val="21"/>
                <w:szCs w:val="21"/>
              </w:rPr>
              <w:t>地址：</w:t>
            </w:r>
            <w:r>
              <w:rPr>
                <w:rFonts w:hint="eastAsia" w:ascii="宋体" w:hAnsi="宋体" w:cs="宋体"/>
                <w:spacing w:val="-6"/>
                <w:sz w:val="21"/>
                <w:szCs w:val="21"/>
              </w:rPr>
              <w:tab/>
            </w:r>
            <w:r>
              <w:rPr>
                <w:rFonts w:hint="eastAsia" w:ascii="宋体" w:hAnsi="宋体" w:cs="宋体"/>
                <w:spacing w:val="-6"/>
                <w:sz w:val="21"/>
                <w:szCs w:val="21"/>
              </w:rPr>
              <w:tab/>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2" w:type="dxa"/>
            <w:vAlign w:val="center"/>
          </w:tcPr>
          <w:p>
            <w:pPr>
              <w:spacing w:line="288" w:lineRule="auto"/>
              <w:rPr>
                <w:rFonts w:ascii="宋体" w:hAnsi="宋体" w:cs="宋体"/>
                <w:spacing w:val="-6"/>
                <w:sz w:val="21"/>
                <w:szCs w:val="21"/>
              </w:rPr>
            </w:pPr>
            <w:r>
              <w:rPr>
                <w:rFonts w:hint="eastAsia" w:ascii="宋体" w:hAnsi="宋体" w:cs="宋体"/>
                <w:spacing w:val="-6"/>
                <w:sz w:val="21"/>
                <w:szCs w:val="21"/>
              </w:rPr>
              <w:t xml:space="preserve">邮编： </w:t>
            </w:r>
          </w:p>
        </w:tc>
        <w:tc>
          <w:tcPr>
            <w:tcW w:w="4110" w:type="dxa"/>
            <w:vAlign w:val="center"/>
          </w:tcPr>
          <w:p>
            <w:pPr>
              <w:spacing w:line="288" w:lineRule="auto"/>
              <w:rPr>
                <w:rFonts w:ascii="宋体" w:hAnsi="宋体" w:cs="宋体"/>
                <w:spacing w:val="-6"/>
                <w:sz w:val="21"/>
                <w:szCs w:val="21"/>
              </w:rPr>
            </w:pPr>
            <w:r>
              <w:rPr>
                <w:rFonts w:hint="eastAsia" w:ascii="宋体" w:hAnsi="宋体" w:cs="宋体"/>
                <w:spacing w:val="-6"/>
                <w:sz w:val="21"/>
                <w:szCs w:val="21"/>
              </w:rPr>
              <w:t>邮编：</w:t>
            </w:r>
            <w:r>
              <w:rPr>
                <w:rFonts w:hint="eastAsia" w:ascii="宋体" w:hAnsi="宋体" w:cs="宋体"/>
                <w:spacing w:val="-6"/>
                <w:sz w:val="21"/>
                <w:szCs w:val="21"/>
              </w:rPr>
              <w:tab/>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2" w:type="dxa"/>
            <w:vAlign w:val="center"/>
          </w:tcPr>
          <w:p>
            <w:pPr>
              <w:spacing w:line="288" w:lineRule="auto"/>
              <w:rPr>
                <w:rFonts w:ascii="宋体" w:hAnsi="宋体" w:cs="宋体"/>
                <w:spacing w:val="-6"/>
                <w:sz w:val="21"/>
                <w:szCs w:val="21"/>
              </w:rPr>
            </w:pPr>
            <w:r>
              <w:rPr>
                <w:rFonts w:hint="eastAsia" w:ascii="宋体" w:hAnsi="宋体" w:cs="宋体"/>
                <w:spacing w:val="-6"/>
                <w:sz w:val="21"/>
                <w:szCs w:val="21"/>
              </w:rPr>
              <w:t xml:space="preserve">电话： </w:t>
            </w:r>
          </w:p>
        </w:tc>
        <w:tc>
          <w:tcPr>
            <w:tcW w:w="4110" w:type="dxa"/>
            <w:vAlign w:val="center"/>
          </w:tcPr>
          <w:p>
            <w:pPr>
              <w:spacing w:line="288" w:lineRule="auto"/>
              <w:rPr>
                <w:rFonts w:ascii="宋体" w:hAnsi="宋体" w:cs="宋体"/>
                <w:spacing w:val="-6"/>
                <w:sz w:val="21"/>
                <w:szCs w:val="21"/>
              </w:rPr>
            </w:pPr>
            <w:r>
              <w:rPr>
                <w:rFonts w:hint="eastAsia" w:ascii="宋体" w:hAnsi="宋体" w:cs="宋体"/>
                <w:spacing w:val="-6"/>
                <w:sz w:val="21"/>
                <w:szCs w:val="21"/>
              </w:rPr>
              <w:t>电话：</w:t>
            </w:r>
            <w:r>
              <w:rPr>
                <w:rFonts w:hint="eastAsia" w:ascii="宋体" w:hAnsi="宋体" w:cs="宋体"/>
                <w:spacing w:val="-6"/>
                <w:sz w:val="21"/>
                <w:szCs w:val="21"/>
              </w:rPr>
              <w:tab/>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2" w:type="dxa"/>
            <w:vAlign w:val="center"/>
          </w:tcPr>
          <w:p>
            <w:pPr>
              <w:spacing w:line="288" w:lineRule="auto"/>
              <w:rPr>
                <w:rFonts w:ascii="宋体" w:hAnsi="宋体" w:cs="宋体"/>
                <w:spacing w:val="-6"/>
                <w:sz w:val="21"/>
                <w:szCs w:val="21"/>
              </w:rPr>
            </w:pPr>
            <w:r>
              <w:rPr>
                <w:rFonts w:hint="eastAsia" w:ascii="宋体" w:hAnsi="宋体" w:cs="宋体"/>
                <w:spacing w:val="-6"/>
                <w:sz w:val="21"/>
                <w:szCs w:val="21"/>
              </w:rPr>
              <w:t xml:space="preserve">传真： </w:t>
            </w:r>
          </w:p>
        </w:tc>
        <w:tc>
          <w:tcPr>
            <w:tcW w:w="4110" w:type="dxa"/>
            <w:vAlign w:val="center"/>
          </w:tcPr>
          <w:p>
            <w:pPr>
              <w:spacing w:line="288" w:lineRule="auto"/>
              <w:rPr>
                <w:rFonts w:ascii="宋体" w:hAnsi="宋体" w:cs="宋体"/>
                <w:spacing w:val="-6"/>
                <w:sz w:val="21"/>
                <w:szCs w:val="21"/>
              </w:rPr>
            </w:pPr>
            <w:r>
              <w:rPr>
                <w:rFonts w:hint="eastAsia" w:ascii="宋体" w:hAnsi="宋体" w:cs="宋体"/>
                <w:spacing w:val="-6"/>
                <w:sz w:val="21"/>
                <w:szCs w:val="21"/>
              </w:rPr>
              <w:t>传真：</w:t>
            </w:r>
            <w:r>
              <w:rPr>
                <w:rFonts w:hint="eastAsia" w:ascii="宋体" w:hAnsi="宋体" w:cs="宋体"/>
                <w:spacing w:val="-6"/>
                <w:sz w:val="21"/>
                <w:szCs w:val="21"/>
              </w:rPr>
              <w:tab/>
            </w:r>
            <w:r>
              <w:rPr>
                <w:rFonts w:hint="eastAsia" w:ascii="宋体" w:hAnsi="宋体" w:cs="宋体"/>
                <w:spacing w:val="-6"/>
                <w:sz w:val="21"/>
                <w:szCs w:val="21"/>
              </w:rPr>
              <w:tab/>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2" w:type="dxa"/>
            <w:vAlign w:val="center"/>
          </w:tcPr>
          <w:p>
            <w:pPr>
              <w:spacing w:line="288" w:lineRule="auto"/>
              <w:rPr>
                <w:rFonts w:ascii="宋体" w:hAnsi="宋体" w:cs="宋体"/>
                <w:spacing w:val="-6"/>
                <w:sz w:val="21"/>
                <w:szCs w:val="21"/>
              </w:rPr>
            </w:pPr>
            <w:r>
              <w:rPr>
                <w:rFonts w:hint="eastAsia" w:ascii="宋体" w:hAnsi="宋体" w:cs="宋体"/>
                <w:spacing w:val="-6"/>
                <w:sz w:val="21"/>
                <w:szCs w:val="21"/>
              </w:rPr>
              <w:t xml:space="preserve">开户银行： </w:t>
            </w:r>
          </w:p>
        </w:tc>
        <w:tc>
          <w:tcPr>
            <w:tcW w:w="4110" w:type="dxa"/>
            <w:vAlign w:val="center"/>
          </w:tcPr>
          <w:p>
            <w:pPr>
              <w:spacing w:line="288" w:lineRule="auto"/>
              <w:rPr>
                <w:rFonts w:ascii="宋体" w:hAnsi="宋体" w:cs="宋体"/>
                <w:spacing w:val="-6"/>
                <w:sz w:val="21"/>
                <w:szCs w:val="21"/>
              </w:rPr>
            </w:pPr>
            <w:r>
              <w:rPr>
                <w:rFonts w:hint="eastAsia" w:ascii="宋体" w:hAnsi="宋体" w:cs="宋体"/>
                <w:spacing w:val="-6"/>
                <w:sz w:val="21"/>
                <w:szCs w:val="21"/>
              </w:rPr>
              <w:t>开户银行：</w:t>
            </w:r>
            <w:r>
              <w:rPr>
                <w:rFonts w:hint="eastAsia" w:ascii="宋体" w:hAnsi="宋体" w:cs="宋体"/>
                <w:spacing w:val="-6"/>
                <w:sz w:val="21"/>
                <w:szCs w:val="21"/>
              </w:rPr>
              <w:tab/>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2" w:type="dxa"/>
            <w:vAlign w:val="center"/>
          </w:tcPr>
          <w:p>
            <w:pPr>
              <w:spacing w:line="288" w:lineRule="auto"/>
              <w:rPr>
                <w:rFonts w:ascii="宋体" w:hAnsi="宋体" w:cs="宋体"/>
                <w:spacing w:val="-6"/>
                <w:sz w:val="21"/>
                <w:szCs w:val="21"/>
              </w:rPr>
            </w:pPr>
            <w:r>
              <w:rPr>
                <w:rFonts w:hint="eastAsia" w:ascii="宋体" w:hAnsi="宋体" w:cs="宋体"/>
                <w:spacing w:val="-6"/>
                <w:sz w:val="21"/>
                <w:szCs w:val="21"/>
              </w:rPr>
              <w:t>帐号：</w:t>
            </w:r>
          </w:p>
        </w:tc>
        <w:tc>
          <w:tcPr>
            <w:tcW w:w="4110" w:type="dxa"/>
            <w:vAlign w:val="center"/>
          </w:tcPr>
          <w:p>
            <w:pPr>
              <w:spacing w:line="288" w:lineRule="auto"/>
              <w:rPr>
                <w:rFonts w:ascii="宋体" w:hAnsi="宋体" w:cs="宋体"/>
                <w:spacing w:val="-6"/>
                <w:sz w:val="21"/>
                <w:szCs w:val="21"/>
              </w:rPr>
            </w:pPr>
            <w:r>
              <w:rPr>
                <w:rFonts w:hint="eastAsia" w:ascii="宋体" w:hAnsi="宋体" w:cs="宋体"/>
                <w:spacing w:val="-6"/>
                <w:sz w:val="21"/>
                <w:szCs w:val="21"/>
              </w:rPr>
              <w:t>帐号：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02" w:type="dxa"/>
            <w:vAlign w:val="center"/>
          </w:tcPr>
          <w:p>
            <w:pPr>
              <w:spacing w:line="288" w:lineRule="auto"/>
              <w:rPr>
                <w:rFonts w:ascii="宋体" w:hAnsi="宋体" w:cs="宋体"/>
                <w:spacing w:val="-6"/>
                <w:sz w:val="21"/>
                <w:szCs w:val="21"/>
              </w:rPr>
            </w:pPr>
            <w:r>
              <w:rPr>
                <w:rFonts w:hint="eastAsia" w:ascii="宋体" w:hAnsi="宋体" w:cs="宋体"/>
                <w:spacing w:val="-6"/>
                <w:sz w:val="21"/>
                <w:szCs w:val="21"/>
              </w:rPr>
              <w:t>签字日期：      年  月  日</w:t>
            </w:r>
          </w:p>
        </w:tc>
        <w:tc>
          <w:tcPr>
            <w:tcW w:w="4110" w:type="dxa"/>
            <w:vAlign w:val="center"/>
          </w:tcPr>
          <w:p>
            <w:pPr>
              <w:spacing w:line="288" w:lineRule="auto"/>
              <w:rPr>
                <w:rFonts w:ascii="宋体" w:hAnsi="宋体" w:cs="宋体"/>
                <w:spacing w:val="-6"/>
                <w:sz w:val="21"/>
                <w:szCs w:val="21"/>
              </w:rPr>
            </w:pPr>
            <w:r>
              <w:rPr>
                <w:rFonts w:hint="eastAsia" w:ascii="宋体" w:hAnsi="宋体" w:cs="宋体"/>
                <w:spacing w:val="-6"/>
                <w:sz w:val="21"/>
                <w:szCs w:val="21"/>
              </w:rPr>
              <w:t>签字日期：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4110" w:type="dxa"/>
          <w:trHeight w:val="632" w:hRule="atLeast"/>
        </w:trPr>
        <w:tc>
          <w:tcPr>
            <w:tcW w:w="4602" w:type="dxa"/>
            <w:vAlign w:val="center"/>
          </w:tcPr>
          <w:p>
            <w:pPr>
              <w:spacing w:line="288" w:lineRule="auto"/>
              <w:rPr>
                <w:rFonts w:ascii="宋体" w:hAnsi="宋体" w:cs="宋体"/>
                <w:spacing w:val="-6"/>
                <w:sz w:val="21"/>
                <w:szCs w:val="21"/>
              </w:rPr>
            </w:pPr>
            <w:r>
              <w:rPr>
                <w:rFonts w:hint="eastAsia" w:ascii="宋体" w:hAnsi="宋体" w:cs="宋体"/>
                <w:spacing w:val="-6"/>
                <w:sz w:val="21"/>
                <w:szCs w:val="21"/>
              </w:rPr>
              <w:t>合同鉴证方：浙江求是招标代理有限公司公章（或合同专用章）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4110" w:type="dxa"/>
          <w:trHeight w:val="717" w:hRule="atLeast"/>
        </w:trPr>
        <w:tc>
          <w:tcPr>
            <w:tcW w:w="4602" w:type="dxa"/>
            <w:vAlign w:val="center"/>
          </w:tcPr>
          <w:p>
            <w:pPr>
              <w:tabs>
                <w:tab w:val="left" w:pos="2880"/>
              </w:tabs>
              <w:spacing w:line="288" w:lineRule="auto"/>
              <w:rPr>
                <w:rFonts w:ascii="宋体" w:hAnsi="宋体" w:cs="宋体"/>
                <w:spacing w:val="-6"/>
                <w:sz w:val="21"/>
                <w:szCs w:val="21"/>
              </w:rPr>
            </w:pPr>
            <w:r>
              <w:rPr>
                <w:rFonts w:hint="eastAsia" w:ascii="宋体" w:hAnsi="宋体" w:cs="宋体"/>
                <w:spacing w:val="-6"/>
                <w:sz w:val="21"/>
                <w:szCs w:val="21"/>
              </w:rPr>
              <w:t>法定代表人或主要负责人：</w:t>
            </w:r>
          </w:p>
          <w:p>
            <w:pPr>
              <w:spacing w:line="288" w:lineRule="auto"/>
              <w:rPr>
                <w:rFonts w:ascii="宋体" w:hAnsi="宋体" w:cs="宋体"/>
                <w:spacing w:val="-6"/>
                <w:sz w:val="21"/>
                <w:szCs w:val="21"/>
              </w:rPr>
            </w:pPr>
            <w:r>
              <w:rPr>
                <w:rFonts w:hint="eastAsia" w:ascii="宋体" w:hAnsi="宋体" w:cs="宋体"/>
                <w:spacing w:val="-6"/>
                <w:sz w:val="21"/>
                <w:szCs w:val="21"/>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4110" w:type="dxa"/>
        </w:trPr>
        <w:tc>
          <w:tcPr>
            <w:tcW w:w="4602" w:type="dxa"/>
            <w:vAlign w:val="center"/>
          </w:tcPr>
          <w:p>
            <w:pPr>
              <w:spacing w:line="288" w:lineRule="auto"/>
              <w:rPr>
                <w:rFonts w:ascii="宋体" w:hAnsi="宋体" w:cs="宋体"/>
                <w:spacing w:val="-6"/>
                <w:sz w:val="21"/>
                <w:szCs w:val="21"/>
              </w:rPr>
            </w:pPr>
            <w:r>
              <w:rPr>
                <w:rFonts w:hint="eastAsia" w:ascii="宋体" w:hAnsi="宋体" w:cs="宋体"/>
                <w:spacing w:val="-6"/>
                <w:sz w:val="21"/>
                <w:szCs w:val="21"/>
              </w:rPr>
              <w:t>鉴证日期：</w:t>
            </w:r>
          </w:p>
        </w:tc>
      </w:tr>
    </w:tbl>
    <w:p>
      <w:pPr>
        <w:spacing w:line="288" w:lineRule="auto"/>
        <w:ind w:firstLine="480" w:firstLineChars="200"/>
        <w:rPr>
          <w:sz w:val="24"/>
        </w:rPr>
      </w:pPr>
    </w:p>
    <w:p>
      <w:pPr>
        <w:rPr>
          <w:rFonts w:ascii="宋体" w:hAnsi="宋体"/>
          <w:b/>
          <w:spacing w:val="-6"/>
          <w:sz w:val="24"/>
        </w:rPr>
      </w:pPr>
      <w:r>
        <w:rPr>
          <w:rFonts w:hint="eastAsia" w:ascii="宋体" w:hAnsi="宋体"/>
          <w:b/>
          <w:spacing w:val="-6"/>
          <w:sz w:val="24"/>
        </w:rPr>
        <w:br w:type="page"/>
      </w:r>
    </w:p>
    <w:p>
      <w:pPr>
        <w:pStyle w:val="15"/>
        <w:tabs>
          <w:tab w:val="left" w:pos="2472"/>
        </w:tabs>
        <w:spacing w:beforeLines="0" w:afterLines="0" w:line="288" w:lineRule="auto"/>
        <w:jc w:val="center"/>
        <w:outlineLvl w:val="0"/>
        <w:rPr>
          <w:rFonts w:hAnsi="宋体"/>
          <w:b/>
          <w:spacing w:val="-6"/>
          <w:sz w:val="32"/>
          <w:szCs w:val="32"/>
        </w:rPr>
      </w:pPr>
      <w:r>
        <w:rPr>
          <w:rFonts w:hAnsi="宋体"/>
          <w:b/>
          <w:spacing w:val="-6"/>
          <w:sz w:val="32"/>
          <w:szCs w:val="32"/>
        </w:rPr>
        <w:t>第六章投标文件格式</w:t>
      </w:r>
    </w:p>
    <w:p>
      <w:pPr>
        <w:adjustRightInd w:val="0"/>
        <w:snapToGrid w:val="0"/>
        <w:spacing w:line="288" w:lineRule="auto"/>
        <w:rPr>
          <w:rFonts w:ascii="宋体" w:hAnsi="宋体"/>
          <w:b/>
          <w:bCs/>
          <w:spacing w:val="-6"/>
          <w:sz w:val="21"/>
          <w:szCs w:val="21"/>
        </w:rPr>
      </w:pPr>
    </w:p>
    <w:p>
      <w:pPr>
        <w:adjustRightInd w:val="0"/>
        <w:snapToGrid w:val="0"/>
        <w:spacing w:line="288" w:lineRule="auto"/>
        <w:jc w:val="center"/>
        <w:rPr>
          <w:rFonts w:ascii="宋体" w:hAnsi="宋体"/>
          <w:b/>
          <w:bCs/>
          <w:spacing w:val="-6"/>
          <w:sz w:val="21"/>
          <w:szCs w:val="21"/>
        </w:rPr>
      </w:pPr>
      <w:r>
        <w:rPr>
          <w:rFonts w:hint="eastAsia" w:ascii="宋体" w:hAnsi="宋体"/>
          <w:b/>
          <w:bCs/>
          <w:spacing w:val="-6"/>
          <w:sz w:val="21"/>
          <w:szCs w:val="21"/>
        </w:rPr>
        <w:t>目 录</w:t>
      </w:r>
    </w:p>
    <w:p>
      <w:pPr>
        <w:adjustRightInd w:val="0"/>
        <w:snapToGrid w:val="0"/>
        <w:spacing w:line="288" w:lineRule="auto"/>
        <w:rPr>
          <w:rFonts w:ascii="宋体" w:hAnsi="宋体"/>
          <w:b/>
          <w:bCs/>
          <w:spacing w:val="-6"/>
          <w:sz w:val="21"/>
          <w:szCs w:val="21"/>
        </w:rPr>
      </w:pPr>
    </w:p>
    <w:p>
      <w:pPr>
        <w:adjustRightInd w:val="0"/>
        <w:snapToGrid w:val="0"/>
        <w:spacing w:line="288" w:lineRule="auto"/>
        <w:ind w:firstLine="398" w:firstLineChars="200"/>
        <w:jc w:val="left"/>
        <w:rPr>
          <w:rFonts w:ascii="宋体" w:hAnsi="宋体"/>
          <w:b/>
          <w:spacing w:val="-6"/>
          <w:sz w:val="21"/>
          <w:szCs w:val="21"/>
        </w:rPr>
      </w:pPr>
      <w:r>
        <w:rPr>
          <w:rFonts w:ascii="宋体" w:hAnsi="宋体"/>
          <w:b/>
          <w:spacing w:val="-6"/>
          <w:sz w:val="21"/>
          <w:szCs w:val="21"/>
        </w:rPr>
        <w:t>1.</w:t>
      </w:r>
      <w:r>
        <w:rPr>
          <w:rFonts w:hint="eastAsia" w:ascii="宋体" w:hAnsi="宋体"/>
          <w:b/>
          <w:spacing w:val="-6"/>
          <w:sz w:val="21"/>
          <w:szCs w:val="21"/>
        </w:rPr>
        <w:t>报价文件：（单独密封，</w:t>
      </w:r>
      <w:r>
        <w:rPr>
          <w:rFonts w:ascii="宋体" w:hAnsi="宋体"/>
          <w:b/>
          <w:spacing w:val="-6"/>
          <w:sz w:val="21"/>
          <w:szCs w:val="21"/>
        </w:rPr>
        <w:t>如开标时发生报价泄露</w:t>
      </w:r>
      <w:r>
        <w:rPr>
          <w:rFonts w:hint="eastAsia" w:ascii="宋体" w:hAnsi="宋体"/>
          <w:b/>
          <w:spacing w:val="-6"/>
          <w:sz w:val="21"/>
          <w:szCs w:val="21"/>
        </w:rPr>
        <w:t>，</w:t>
      </w:r>
      <w:r>
        <w:rPr>
          <w:rFonts w:ascii="宋体" w:hAnsi="宋体"/>
          <w:b/>
          <w:spacing w:val="-6"/>
          <w:sz w:val="21"/>
          <w:szCs w:val="21"/>
        </w:rPr>
        <w:t>自行承担相关责任</w:t>
      </w:r>
      <w:r>
        <w:rPr>
          <w:rFonts w:hint="eastAsia" w:ascii="宋体" w:hAnsi="宋体"/>
          <w:b/>
          <w:spacing w:val="-6"/>
          <w:sz w:val="21"/>
          <w:szCs w:val="21"/>
        </w:rPr>
        <w:t>）</w:t>
      </w:r>
    </w:p>
    <w:p>
      <w:pPr>
        <w:pStyle w:val="11"/>
        <w:adjustRightInd w:val="0"/>
        <w:snapToGrid w:val="0"/>
        <w:spacing w:line="288" w:lineRule="auto"/>
        <w:ind w:firstLine="396" w:firstLineChars="200"/>
        <w:jc w:val="left"/>
        <w:rPr>
          <w:rFonts w:hAnsi="宋体"/>
          <w:spacing w:val="-6"/>
          <w:sz w:val="21"/>
          <w:szCs w:val="21"/>
        </w:rPr>
      </w:pPr>
      <w:r>
        <w:rPr>
          <w:rFonts w:hint="eastAsia" w:hAnsi="宋体"/>
          <w:spacing w:val="-6"/>
          <w:sz w:val="21"/>
          <w:szCs w:val="21"/>
        </w:rPr>
        <w:t>（1）开标一览表</w:t>
      </w:r>
    </w:p>
    <w:p>
      <w:pPr>
        <w:adjustRightInd w:val="0"/>
        <w:snapToGrid w:val="0"/>
        <w:spacing w:line="288" w:lineRule="auto"/>
        <w:ind w:firstLine="396" w:firstLineChars="200"/>
        <w:jc w:val="left"/>
        <w:rPr>
          <w:rFonts w:ascii="宋体" w:hAnsi="宋体"/>
          <w:b/>
          <w:spacing w:val="-6"/>
          <w:sz w:val="21"/>
          <w:szCs w:val="21"/>
        </w:rPr>
      </w:pPr>
      <w:r>
        <w:rPr>
          <w:rFonts w:ascii="宋体" w:hAnsi="宋体"/>
          <w:spacing w:val="-6"/>
          <w:sz w:val="21"/>
          <w:szCs w:val="21"/>
        </w:rPr>
        <w:t>▲</w:t>
      </w:r>
      <w:r>
        <w:rPr>
          <w:rFonts w:ascii="宋体" w:hAnsi="宋体"/>
          <w:b/>
          <w:spacing w:val="-6"/>
          <w:sz w:val="21"/>
          <w:szCs w:val="21"/>
        </w:rPr>
        <w:t>2.</w:t>
      </w:r>
      <w:r>
        <w:rPr>
          <w:rFonts w:hint="eastAsia" w:ascii="宋体" w:hAnsi="宋体"/>
          <w:b/>
          <w:spacing w:val="-6"/>
          <w:sz w:val="21"/>
          <w:szCs w:val="21"/>
        </w:rPr>
        <w:t>资格文件：</w:t>
      </w:r>
    </w:p>
    <w:p>
      <w:pPr>
        <w:adjustRightInd w:val="0"/>
        <w:snapToGrid w:val="0"/>
        <w:spacing w:line="288" w:lineRule="auto"/>
        <w:ind w:firstLine="398" w:firstLineChars="200"/>
        <w:jc w:val="left"/>
        <w:rPr>
          <w:rFonts w:ascii="宋体" w:hAnsi="宋体"/>
          <w:b/>
          <w:spacing w:val="-6"/>
          <w:sz w:val="21"/>
          <w:szCs w:val="21"/>
        </w:rPr>
      </w:pPr>
      <w:r>
        <w:rPr>
          <w:rFonts w:hint="eastAsia" w:ascii="宋体" w:hAnsi="宋体"/>
          <w:b/>
          <w:spacing w:val="-6"/>
          <w:sz w:val="21"/>
          <w:szCs w:val="21"/>
        </w:rPr>
        <w:t>资格审查要求的资格证明材料（均需加盖公章）</w:t>
      </w:r>
    </w:p>
    <w:p>
      <w:pPr>
        <w:pStyle w:val="11"/>
        <w:adjustRightInd w:val="0"/>
        <w:snapToGrid w:val="0"/>
        <w:spacing w:line="288" w:lineRule="auto"/>
        <w:ind w:firstLine="396" w:firstLineChars="200"/>
        <w:jc w:val="left"/>
        <w:rPr>
          <w:rFonts w:hAnsi="宋体"/>
          <w:spacing w:val="-6"/>
          <w:sz w:val="21"/>
          <w:szCs w:val="21"/>
        </w:rPr>
      </w:pPr>
      <w:r>
        <w:rPr>
          <w:rFonts w:hint="eastAsia" w:hAnsi="宋体"/>
          <w:spacing w:val="-6"/>
          <w:sz w:val="21"/>
          <w:szCs w:val="21"/>
        </w:rPr>
        <w:t>（1）有效的法人或者其他组织的营业执照等证明文件（复印件），自然人的身份证明；</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（2）符合参加政府采购活动应当具备的一般条件的承诺函</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（3）落实政府采购政策需满足的资格要求：</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中小企业声明函（若属于中小企业）</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属于监狱企业的证明文件（若属于监狱企业）</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残疾人福利性单位声明函（若属于残疾人福利性单位）</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（4）本项目的特定资格要求证明材料：无</w:t>
      </w:r>
    </w:p>
    <w:p>
      <w:pPr>
        <w:adjustRightInd w:val="0"/>
        <w:snapToGrid w:val="0"/>
        <w:spacing w:line="288" w:lineRule="auto"/>
        <w:ind w:firstLine="398" w:firstLineChars="200"/>
        <w:jc w:val="left"/>
        <w:rPr>
          <w:rFonts w:ascii="宋体" w:hAnsi="宋体"/>
          <w:b/>
          <w:spacing w:val="-6"/>
          <w:sz w:val="21"/>
          <w:szCs w:val="21"/>
        </w:rPr>
      </w:pPr>
      <w:r>
        <w:rPr>
          <w:rFonts w:ascii="宋体" w:hAnsi="宋体"/>
          <w:b/>
          <w:spacing w:val="-6"/>
          <w:sz w:val="21"/>
          <w:szCs w:val="21"/>
        </w:rPr>
        <w:t>3.</w:t>
      </w:r>
      <w:r>
        <w:rPr>
          <w:rFonts w:hint="eastAsia" w:ascii="宋体" w:hAnsi="宋体"/>
          <w:b/>
          <w:spacing w:val="-6"/>
          <w:sz w:val="21"/>
          <w:szCs w:val="21"/>
        </w:rPr>
        <w:t>商务和技术文件：</w:t>
      </w:r>
    </w:p>
    <w:p>
      <w:pPr>
        <w:pStyle w:val="11"/>
        <w:adjustRightInd w:val="0"/>
        <w:snapToGrid w:val="0"/>
        <w:spacing w:line="288" w:lineRule="auto"/>
        <w:ind w:firstLine="396" w:firstLineChars="200"/>
        <w:jc w:val="left"/>
        <w:rPr>
          <w:rFonts w:hAnsi="宋体"/>
          <w:spacing w:val="-6"/>
          <w:sz w:val="21"/>
          <w:szCs w:val="21"/>
        </w:rPr>
      </w:pPr>
      <w:r>
        <w:rPr>
          <w:rFonts w:hint="eastAsia" w:hAnsi="宋体"/>
          <w:spacing w:val="-6"/>
          <w:sz w:val="21"/>
          <w:szCs w:val="21"/>
        </w:rPr>
        <w:t>（1）投标函</w:t>
      </w:r>
    </w:p>
    <w:p>
      <w:pPr>
        <w:pStyle w:val="11"/>
        <w:adjustRightInd w:val="0"/>
        <w:snapToGrid w:val="0"/>
        <w:spacing w:line="288" w:lineRule="auto"/>
        <w:ind w:firstLine="396" w:firstLineChars="200"/>
        <w:jc w:val="left"/>
        <w:rPr>
          <w:rFonts w:hAnsi="宋体"/>
          <w:spacing w:val="-6"/>
          <w:sz w:val="21"/>
          <w:szCs w:val="21"/>
        </w:rPr>
      </w:pPr>
      <w:r>
        <w:rPr>
          <w:rFonts w:hint="eastAsia" w:hAnsi="宋体"/>
          <w:spacing w:val="-6"/>
          <w:sz w:val="21"/>
          <w:szCs w:val="21"/>
        </w:rPr>
        <w:t>（2）授权委托书/法定代表人（单位负责人、自然人本人）身份证明</w:t>
      </w:r>
    </w:p>
    <w:p>
      <w:pPr>
        <w:pStyle w:val="11"/>
        <w:adjustRightInd w:val="0"/>
        <w:snapToGrid w:val="0"/>
        <w:spacing w:line="288" w:lineRule="auto"/>
        <w:ind w:firstLine="396" w:firstLineChars="200"/>
        <w:jc w:val="left"/>
        <w:rPr>
          <w:rFonts w:hAnsi="宋体"/>
          <w:spacing w:val="-6"/>
          <w:sz w:val="21"/>
          <w:szCs w:val="21"/>
        </w:rPr>
      </w:pPr>
      <w:r>
        <w:rPr>
          <w:rFonts w:hint="eastAsia" w:hAnsi="宋体"/>
          <w:spacing w:val="-6"/>
          <w:sz w:val="21"/>
          <w:szCs w:val="21"/>
        </w:rPr>
        <w:t>附：授权代表社保缴纳证明（2023年7月（含）以后任意一月）</w:t>
      </w:r>
    </w:p>
    <w:p>
      <w:pPr>
        <w:pStyle w:val="11"/>
        <w:adjustRightInd w:val="0"/>
        <w:snapToGrid w:val="0"/>
        <w:spacing w:line="288" w:lineRule="auto"/>
        <w:ind w:firstLine="396" w:firstLineChars="200"/>
        <w:jc w:val="left"/>
        <w:rPr>
          <w:rFonts w:hAnsi="宋体"/>
          <w:spacing w:val="-6"/>
          <w:sz w:val="21"/>
          <w:szCs w:val="21"/>
        </w:rPr>
      </w:pPr>
      <w:r>
        <w:rPr>
          <w:rFonts w:hint="eastAsia" w:hAnsi="宋体"/>
          <w:spacing w:val="-6"/>
          <w:sz w:val="21"/>
          <w:szCs w:val="21"/>
        </w:rPr>
        <w:t>（</w:t>
      </w:r>
      <w:r>
        <w:rPr>
          <w:rFonts w:hAnsi="宋体"/>
          <w:spacing w:val="-6"/>
          <w:sz w:val="21"/>
          <w:szCs w:val="21"/>
        </w:rPr>
        <w:t>3</w:t>
      </w:r>
      <w:r>
        <w:rPr>
          <w:rFonts w:hint="eastAsia" w:hAnsi="宋体"/>
          <w:spacing w:val="-6"/>
          <w:sz w:val="21"/>
          <w:szCs w:val="21"/>
        </w:rPr>
        <w:t>）投标人同类合同一览表</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w:t>
      </w:r>
      <w:r>
        <w:rPr>
          <w:rFonts w:ascii="宋体" w:hAnsi="宋体"/>
          <w:spacing w:val="-6"/>
          <w:sz w:val="21"/>
          <w:szCs w:val="21"/>
        </w:rPr>
        <w:t>4</w:t>
      </w:r>
      <w:r>
        <w:rPr>
          <w:rFonts w:hint="eastAsia" w:ascii="宋体" w:hAnsi="宋体"/>
          <w:spacing w:val="-6"/>
          <w:sz w:val="21"/>
          <w:szCs w:val="21"/>
        </w:rPr>
        <w:t>）采购</w:t>
      </w:r>
      <w:r>
        <w:rPr>
          <w:rFonts w:ascii="宋体" w:hAnsi="宋体"/>
          <w:spacing w:val="-6"/>
          <w:sz w:val="21"/>
          <w:szCs w:val="21"/>
        </w:rPr>
        <w:t>需求</w:t>
      </w:r>
      <w:r>
        <w:rPr>
          <w:rFonts w:hint="eastAsia" w:ascii="宋体" w:hAnsi="宋体"/>
          <w:spacing w:val="-6"/>
          <w:sz w:val="21"/>
          <w:szCs w:val="21"/>
        </w:rPr>
        <w:t>偏离表</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w:t>
      </w:r>
      <w:r>
        <w:rPr>
          <w:rFonts w:ascii="宋体" w:hAnsi="宋体"/>
          <w:spacing w:val="-6"/>
          <w:sz w:val="21"/>
          <w:szCs w:val="21"/>
        </w:rPr>
        <w:t>5</w:t>
      </w:r>
      <w:r>
        <w:rPr>
          <w:rFonts w:hint="eastAsia" w:ascii="宋体" w:hAnsi="宋体"/>
          <w:spacing w:val="-6"/>
          <w:sz w:val="21"/>
          <w:szCs w:val="21"/>
        </w:rPr>
        <w:t>）物业管理服务理念、定位、目标及方案</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（6）组织架构、管理流程</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（7）物业管理制度情况</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（8）治安与秩序管理服务方案</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（9）消防管理服务方案</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（10）日常保洁和专业清洁服务方案</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（11）会务服务方案</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（12）应急突发事件管理方案</w:t>
      </w:r>
    </w:p>
    <w:p>
      <w:pPr>
        <w:adjustRightInd w:val="0"/>
        <w:snapToGrid w:val="0"/>
        <w:spacing w:line="288" w:lineRule="auto"/>
        <w:ind w:firstLine="396" w:firstLineChars="200"/>
        <w:jc w:val="left"/>
        <w:rPr>
          <w:rFonts w:ascii="宋体" w:hAnsi="宋体"/>
          <w:spacing w:val="-6"/>
          <w:sz w:val="21"/>
          <w:szCs w:val="21"/>
        </w:rPr>
      </w:pPr>
      <w:r>
        <w:rPr>
          <w:rFonts w:hint="eastAsia" w:ascii="宋体" w:hAnsi="宋体"/>
          <w:spacing w:val="-6"/>
          <w:sz w:val="21"/>
          <w:szCs w:val="21"/>
        </w:rPr>
        <w:t>（13）服务团队</w:t>
      </w:r>
    </w:p>
    <w:p>
      <w:pPr>
        <w:adjustRightInd w:val="0"/>
        <w:snapToGrid w:val="0"/>
        <w:spacing w:line="288" w:lineRule="auto"/>
        <w:ind w:firstLine="396" w:firstLineChars="200"/>
        <w:jc w:val="left"/>
        <w:rPr>
          <w:rFonts w:ascii="宋体" w:hAnsi="宋体" w:cs="宋体"/>
          <w:spacing w:val="-6"/>
          <w:sz w:val="21"/>
          <w:szCs w:val="21"/>
        </w:rPr>
      </w:pPr>
      <w:r>
        <w:rPr>
          <w:rFonts w:hint="eastAsia" w:ascii="宋体" w:hAnsi="宋体"/>
          <w:spacing w:val="-6"/>
          <w:sz w:val="21"/>
          <w:szCs w:val="21"/>
        </w:rPr>
        <w:t>（14）拟投入设备</w:t>
      </w:r>
    </w:p>
    <w:p>
      <w:pPr>
        <w:adjustRightInd w:val="0"/>
        <w:snapToGrid w:val="0"/>
        <w:spacing w:line="288" w:lineRule="auto"/>
        <w:ind w:firstLine="396" w:firstLineChars="200"/>
        <w:jc w:val="left"/>
        <w:rPr>
          <w:rFonts w:ascii="宋体" w:hAnsi="宋体" w:cs="宋体"/>
          <w:spacing w:val="-6"/>
          <w:sz w:val="21"/>
          <w:szCs w:val="21"/>
        </w:rPr>
      </w:pPr>
      <w:r>
        <w:rPr>
          <w:rFonts w:hint="eastAsia" w:ascii="宋体" w:hAnsi="宋体" w:cs="宋体"/>
          <w:spacing w:val="-6"/>
          <w:sz w:val="21"/>
          <w:szCs w:val="21"/>
        </w:rPr>
        <w:t>（15）</w:t>
      </w:r>
      <w:r>
        <w:rPr>
          <w:rFonts w:ascii="宋体" w:hAnsi="宋体" w:cs="宋体"/>
          <w:spacing w:val="-6"/>
          <w:sz w:val="21"/>
          <w:szCs w:val="21"/>
        </w:rPr>
        <w:t>投标人需要说明的其他文件和材料。</w:t>
      </w:r>
    </w:p>
    <w:p>
      <w:pPr>
        <w:widowControl/>
        <w:adjustRightInd w:val="0"/>
        <w:snapToGrid w:val="0"/>
        <w:spacing w:line="288" w:lineRule="auto"/>
        <w:jc w:val="left"/>
        <w:rPr>
          <w:rFonts w:ascii="宋体" w:hAnsi="宋体"/>
          <w:b/>
          <w:bCs/>
          <w:spacing w:val="-6"/>
          <w:sz w:val="21"/>
          <w:szCs w:val="21"/>
        </w:rPr>
      </w:pPr>
      <w:r>
        <w:rPr>
          <w:rFonts w:ascii="宋体" w:hAnsi="宋体"/>
          <w:b/>
          <w:bCs/>
          <w:spacing w:val="-6"/>
          <w:sz w:val="21"/>
          <w:szCs w:val="21"/>
        </w:rPr>
        <w:br w:type="page"/>
      </w:r>
    </w:p>
    <w:p>
      <w:pPr>
        <w:adjustRightInd w:val="0"/>
        <w:snapToGrid w:val="0"/>
        <w:spacing w:line="288" w:lineRule="auto"/>
        <w:jc w:val="center"/>
        <w:rPr>
          <w:rFonts w:ascii="宋体" w:hAnsi="宋体"/>
          <w:b/>
          <w:bCs/>
          <w:spacing w:val="-6"/>
          <w:sz w:val="21"/>
          <w:szCs w:val="21"/>
        </w:rPr>
      </w:pPr>
      <w:r>
        <w:rPr>
          <w:rFonts w:hint="eastAsia" w:ascii="宋体" w:hAnsi="宋体"/>
          <w:b/>
          <w:bCs/>
          <w:spacing w:val="-6"/>
          <w:sz w:val="21"/>
          <w:szCs w:val="21"/>
        </w:rPr>
        <w:t>外层包装（封签）</w:t>
      </w:r>
    </w:p>
    <w:p>
      <w:pPr>
        <w:adjustRightInd w:val="0"/>
        <w:snapToGrid w:val="0"/>
        <w:spacing w:line="288" w:lineRule="auto"/>
        <w:rPr>
          <w:rFonts w:ascii="宋体" w:hAnsi="宋体"/>
          <w:spacing w:val="-6"/>
          <w:sz w:val="21"/>
          <w:szCs w:val="21"/>
        </w:rPr>
      </w:pPr>
    </w:p>
    <w:p>
      <w:pPr>
        <w:adjustRightInd w:val="0"/>
        <w:snapToGrid w:val="0"/>
        <w:spacing w:line="288" w:lineRule="auto"/>
        <w:jc w:val="center"/>
        <w:rPr>
          <w:rFonts w:ascii="宋体" w:hAnsi="宋体"/>
          <w:bCs/>
          <w:spacing w:val="-6"/>
          <w:sz w:val="21"/>
          <w:szCs w:val="21"/>
        </w:rPr>
      </w:pPr>
      <w:r>
        <w:rPr>
          <w:rFonts w:hint="eastAsia" w:ascii="宋体" w:hAnsi="宋体"/>
          <w:bCs/>
          <w:spacing w:val="-6"/>
          <w:sz w:val="21"/>
          <w:szCs w:val="21"/>
        </w:rPr>
        <w:t>____________________（投标人名称）</w:t>
      </w:r>
    </w:p>
    <w:p>
      <w:pPr>
        <w:adjustRightInd w:val="0"/>
        <w:snapToGrid w:val="0"/>
        <w:spacing w:line="288" w:lineRule="auto"/>
        <w:jc w:val="center"/>
        <w:rPr>
          <w:rFonts w:ascii="宋体" w:hAnsi="宋体"/>
          <w:b/>
          <w:bCs/>
          <w:spacing w:val="-6"/>
          <w:sz w:val="21"/>
          <w:szCs w:val="21"/>
        </w:rPr>
      </w:pPr>
      <w:r>
        <w:rPr>
          <w:rFonts w:hint="eastAsia" w:ascii="宋体" w:hAnsi="宋体"/>
          <w:b/>
          <w:bCs/>
          <w:spacing w:val="-6"/>
          <w:sz w:val="21"/>
          <w:szCs w:val="21"/>
        </w:rPr>
        <w:t>投 标 文 件</w:t>
      </w:r>
    </w:p>
    <w:p>
      <w:pPr>
        <w:adjustRightInd w:val="0"/>
        <w:snapToGrid w:val="0"/>
        <w:spacing w:line="288" w:lineRule="auto"/>
        <w:jc w:val="center"/>
        <w:rPr>
          <w:rFonts w:ascii="宋体" w:hAnsi="宋体"/>
          <w:bCs/>
          <w:spacing w:val="-6"/>
          <w:sz w:val="21"/>
          <w:szCs w:val="21"/>
        </w:rPr>
      </w:pPr>
      <w:r>
        <w:rPr>
          <w:rFonts w:hint="eastAsia" w:ascii="宋体" w:hAnsi="宋体"/>
          <w:bCs/>
          <w:spacing w:val="-6"/>
          <w:sz w:val="21"/>
          <w:szCs w:val="21"/>
        </w:rPr>
        <w:t>（报价文件）</w:t>
      </w:r>
    </w:p>
    <w:p>
      <w:pPr>
        <w:adjustRightInd w:val="0"/>
        <w:snapToGrid w:val="0"/>
        <w:spacing w:line="288" w:lineRule="auto"/>
        <w:rPr>
          <w:rFonts w:ascii="宋体" w:hAnsi="宋体"/>
          <w:bCs/>
          <w:spacing w:val="-6"/>
          <w:sz w:val="21"/>
          <w:szCs w:val="21"/>
        </w:rPr>
      </w:pP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采购人：中国林业科学研究院亚热带林业研究所</w:t>
      </w: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项目名称：安全保洁物业服务</w:t>
      </w:r>
    </w:p>
    <w:p>
      <w:pPr>
        <w:adjustRightInd w:val="0"/>
        <w:snapToGrid w:val="0"/>
        <w:spacing w:line="288" w:lineRule="auto"/>
        <w:rPr>
          <w:rFonts w:hint="eastAsia" w:ascii="宋体" w:hAnsi="宋体" w:eastAsia="宋体"/>
          <w:bCs/>
          <w:spacing w:val="-6"/>
          <w:sz w:val="21"/>
          <w:szCs w:val="21"/>
          <w:lang w:eastAsia="zh-CN"/>
        </w:rPr>
      </w:pPr>
      <w:r>
        <w:rPr>
          <w:rFonts w:hint="eastAsia" w:ascii="宋体" w:hAnsi="宋体"/>
          <w:bCs/>
          <w:spacing w:val="-6"/>
          <w:sz w:val="21"/>
          <w:szCs w:val="21"/>
        </w:rPr>
        <w:t>项目编号：</w:t>
      </w:r>
      <w:r>
        <w:rPr>
          <w:rFonts w:hint="eastAsia" w:ascii="宋体" w:hAnsi="宋体"/>
          <w:bCs/>
          <w:spacing w:val="-6"/>
          <w:sz w:val="21"/>
          <w:szCs w:val="21"/>
          <w:lang w:eastAsia="zh-CN"/>
        </w:rPr>
        <w:t>QSZB-Z(F)-B24035(GK)</w:t>
      </w: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标</w:t>
      </w:r>
      <w:r>
        <w:rPr>
          <w:rFonts w:ascii="宋体" w:hAnsi="宋体"/>
          <w:bCs/>
          <w:spacing w:val="-6"/>
          <w:sz w:val="21"/>
          <w:szCs w:val="21"/>
        </w:rPr>
        <w:t>项</w:t>
      </w:r>
      <w:r>
        <w:rPr>
          <w:rFonts w:hint="eastAsia" w:ascii="宋体" w:hAnsi="宋体"/>
          <w:bCs/>
          <w:spacing w:val="-6"/>
          <w:sz w:val="21"/>
          <w:szCs w:val="21"/>
        </w:rPr>
        <w:t>：</w:t>
      </w: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投标人名称（盖章）：</w:t>
      </w: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投标人地址：</w:t>
      </w: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在  年  月  日  时  分之前不得启封</w:t>
      </w:r>
    </w:p>
    <w:p>
      <w:pPr>
        <w:adjustRightInd w:val="0"/>
        <w:snapToGrid w:val="0"/>
        <w:spacing w:line="288" w:lineRule="auto"/>
        <w:rPr>
          <w:rFonts w:ascii="宋体" w:hAnsi="宋体"/>
          <w:bCs/>
          <w:spacing w:val="-6"/>
          <w:sz w:val="21"/>
          <w:szCs w:val="21"/>
        </w:rPr>
      </w:pPr>
    </w:p>
    <w:p>
      <w:pPr>
        <w:adjustRightInd w:val="0"/>
        <w:snapToGrid w:val="0"/>
        <w:spacing w:line="288" w:lineRule="auto"/>
        <w:rPr>
          <w:rFonts w:ascii="宋体" w:hAnsi="宋体"/>
          <w:bCs/>
          <w:spacing w:val="-6"/>
          <w:sz w:val="21"/>
          <w:szCs w:val="21"/>
        </w:rPr>
      </w:pPr>
      <w:r>
        <w:rPr>
          <w:rFonts w:hint="eastAsia" w:ascii="宋体" w:hAnsi="宋体"/>
          <w:spacing w:val="-6"/>
          <w:sz w:val="21"/>
          <w:szCs w:val="21"/>
        </w:rPr>
        <w:t>投标人代表签名</w:t>
      </w:r>
      <w:r>
        <w:rPr>
          <w:rFonts w:hint="eastAsia" w:ascii="宋体" w:hAnsi="宋体"/>
          <w:bCs/>
          <w:spacing w:val="-6"/>
          <w:sz w:val="21"/>
          <w:szCs w:val="21"/>
        </w:rPr>
        <w:t>：</w:t>
      </w: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日期：    年  月  日</w:t>
      </w:r>
    </w:p>
    <w:p>
      <w:pPr>
        <w:adjustRightInd w:val="0"/>
        <w:snapToGrid w:val="0"/>
        <w:spacing w:line="288" w:lineRule="auto"/>
        <w:rPr>
          <w:rFonts w:ascii="宋体" w:hAnsi="宋体"/>
          <w:spacing w:val="-6"/>
          <w:sz w:val="21"/>
          <w:szCs w:val="21"/>
        </w:rPr>
      </w:pPr>
      <w:r>
        <w:rPr>
          <w:rFonts w:ascii="宋体" w:hAnsi="宋体"/>
          <w:bCs/>
          <w:spacing w:val="-6"/>
          <w:sz w:val="21"/>
          <w:szCs w:val="21"/>
        </w:rPr>
        <w:br w:type="page"/>
      </w:r>
      <w:r>
        <w:rPr>
          <w:rFonts w:hint="eastAsia" w:ascii="宋体" w:hAnsi="宋体"/>
          <w:bCs/>
          <w:spacing w:val="-6"/>
          <w:sz w:val="21"/>
          <w:szCs w:val="21"/>
        </w:rPr>
        <w:t>报价文件</w:t>
      </w:r>
      <w:r>
        <w:rPr>
          <w:rFonts w:hint="eastAsia" w:ascii="宋体" w:hAnsi="宋体"/>
          <w:spacing w:val="-6"/>
          <w:sz w:val="21"/>
          <w:szCs w:val="21"/>
        </w:rPr>
        <w:t>封面</w:t>
      </w:r>
    </w:p>
    <w:p>
      <w:pPr>
        <w:adjustRightInd w:val="0"/>
        <w:snapToGrid w:val="0"/>
        <w:spacing w:line="288" w:lineRule="auto"/>
        <w:jc w:val="right"/>
        <w:rPr>
          <w:rFonts w:ascii="宋体" w:hAnsi="宋体"/>
          <w:spacing w:val="-6"/>
          <w:sz w:val="21"/>
          <w:szCs w:val="21"/>
        </w:rPr>
      </w:pPr>
      <w:r>
        <w:rPr>
          <w:rFonts w:hint="eastAsia" w:ascii="宋体" w:hAnsi="宋体"/>
          <w:b/>
          <w:bCs/>
          <w:spacing w:val="-6"/>
          <w:sz w:val="21"/>
          <w:szCs w:val="21"/>
        </w:rPr>
        <w:t>正本或副本</w:t>
      </w:r>
    </w:p>
    <w:p>
      <w:pPr>
        <w:adjustRightInd w:val="0"/>
        <w:snapToGrid w:val="0"/>
        <w:spacing w:line="288" w:lineRule="auto"/>
        <w:rPr>
          <w:rFonts w:ascii="宋体" w:hAnsi="宋体"/>
          <w:spacing w:val="-6"/>
          <w:sz w:val="21"/>
          <w:szCs w:val="21"/>
        </w:rPr>
      </w:pPr>
    </w:p>
    <w:p>
      <w:pPr>
        <w:adjustRightInd w:val="0"/>
        <w:snapToGrid w:val="0"/>
        <w:spacing w:line="288" w:lineRule="auto"/>
        <w:jc w:val="center"/>
        <w:rPr>
          <w:rFonts w:ascii="宋体" w:hAnsi="宋体"/>
          <w:bCs/>
          <w:spacing w:val="-6"/>
          <w:sz w:val="21"/>
          <w:szCs w:val="21"/>
        </w:rPr>
      </w:pPr>
      <w:r>
        <w:rPr>
          <w:rFonts w:hint="eastAsia" w:ascii="宋体" w:hAnsi="宋体"/>
          <w:bCs/>
          <w:spacing w:val="-6"/>
          <w:sz w:val="21"/>
          <w:szCs w:val="21"/>
        </w:rPr>
        <w:t>____________________（投标人名称）</w:t>
      </w:r>
    </w:p>
    <w:p>
      <w:pPr>
        <w:adjustRightInd w:val="0"/>
        <w:snapToGrid w:val="0"/>
        <w:spacing w:line="288" w:lineRule="auto"/>
        <w:rPr>
          <w:rFonts w:ascii="宋体" w:hAnsi="宋体"/>
          <w:bCs/>
          <w:spacing w:val="-6"/>
          <w:sz w:val="21"/>
          <w:szCs w:val="21"/>
        </w:rPr>
      </w:pPr>
    </w:p>
    <w:p>
      <w:pPr>
        <w:adjustRightInd w:val="0"/>
        <w:snapToGrid w:val="0"/>
        <w:spacing w:line="288" w:lineRule="auto"/>
        <w:rPr>
          <w:rFonts w:ascii="宋体" w:hAnsi="宋体"/>
          <w:bCs/>
          <w:spacing w:val="-6"/>
          <w:sz w:val="21"/>
          <w:szCs w:val="21"/>
        </w:rPr>
      </w:pPr>
    </w:p>
    <w:p>
      <w:pPr>
        <w:adjustRightInd w:val="0"/>
        <w:snapToGrid w:val="0"/>
        <w:spacing w:line="288" w:lineRule="auto"/>
        <w:jc w:val="center"/>
        <w:rPr>
          <w:rFonts w:ascii="宋体" w:hAnsi="宋体"/>
          <w:b/>
          <w:spacing w:val="-6"/>
          <w:sz w:val="21"/>
          <w:szCs w:val="21"/>
        </w:rPr>
      </w:pPr>
      <w:r>
        <w:rPr>
          <w:rFonts w:hint="eastAsia" w:ascii="宋体" w:hAnsi="宋体"/>
          <w:b/>
          <w:spacing w:val="-6"/>
          <w:sz w:val="21"/>
          <w:szCs w:val="21"/>
        </w:rPr>
        <w:t>投标文件</w:t>
      </w:r>
    </w:p>
    <w:p>
      <w:pPr>
        <w:adjustRightInd w:val="0"/>
        <w:snapToGrid w:val="0"/>
        <w:spacing w:line="288" w:lineRule="auto"/>
        <w:rPr>
          <w:rFonts w:ascii="宋体" w:hAnsi="宋体"/>
          <w:b/>
          <w:spacing w:val="-6"/>
          <w:sz w:val="21"/>
          <w:szCs w:val="21"/>
        </w:rPr>
      </w:pPr>
    </w:p>
    <w:p>
      <w:pPr>
        <w:adjustRightInd w:val="0"/>
        <w:snapToGrid w:val="0"/>
        <w:spacing w:line="288" w:lineRule="auto"/>
        <w:jc w:val="center"/>
        <w:rPr>
          <w:rFonts w:ascii="宋体" w:hAnsi="宋体"/>
          <w:b/>
          <w:bCs/>
          <w:spacing w:val="-6"/>
          <w:sz w:val="21"/>
          <w:szCs w:val="21"/>
        </w:rPr>
      </w:pPr>
      <w:r>
        <w:rPr>
          <w:rFonts w:hint="eastAsia" w:ascii="宋体" w:hAnsi="宋体"/>
          <w:b/>
          <w:bCs/>
          <w:spacing w:val="-6"/>
          <w:sz w:val="21"/>
          <w:szCs w:val="21"/>
        </w:rPr>
        <w:t>（报价文件）</w:t>
      </w:r>
    </w:p>
    <w:p>
      <w:pPr>
        <w:adjustRightInd w:val="0"/>
        <w:snapToGrid w:val="0"/>
        <w:spacing w:line="288" w:lineRule="auto"/>
        <w:rPr>
          <w:rFonts w:ascii="宋体" w:hAnsi="宋体"/>
          <w:bCs/>
          <w:spacing w:val="-6"/>
          <w:sz w:val="21"/>
          <w:szCs w:val="21"/>
        </w:rPr>
      </w:pPr>
    </w:p>
    <w:p>
      <w:pPr>
        <w:adjustRightInd w:val="0"/>
        <w:snapToGrid w:val="0"/>
        <w:spacing w:line="288" w:lineRule="auto"/>
        <w:rPr>
          <w:rFonts w:ascii="宋体" w:hAnsi="宋体"/>
          <w:bCs/>
          <w:spacing w:val="-6"/>
          <w:sz w:val="21"/>
          <w:szCs w:val="21"/>
        </w:rPr>
      </w:pP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采购人：中国林业科学研究院亚热带林业研究所</w:t>
      </w: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项目名称：安全保洁物业服务</w:t>
      </w:r>
    </w:p>
    <w:p>
      <w:pPr>
        <w:adjustRightInd w:val="0"/>
        <w:snapToGrid w:val="0"/>
        <w:spacing w:line="288" w:lineRule="auto"/>
        <w:rPr>
          <w:rFonts w:hint="eastAsia" w:ascii="宋体" w:hAnsi="宋体" w:eastAsia="宋体"/>
          <w:bCs/>
          <w:spacing w:val="-6"/>
          <w:sz w:val="21"/>
          <w:szCs w:val="21"/>
          <w:lang w:eastAsia="zh-CN"/>
        </w:rPr>
      </w:pPr>
      <w:r>
        <w:rPr>
          <w:rFonts w:hint="eastAsia" w:ascii="宋体" w:hAnsi="宋体"/>
          <w:bCs/>
          <w:spacing w:val="-6"/>
          <w:sz w:val="21"/>
          <w:szCs w:val="21"/>
        </w:rPr>
        <w:t>项目编号：</w:t>
      </w:r>
      <w:r>
        <w:rPr>
          <w:rFonts w:hint="eastAsia" w:ascii="宋体" w:hAnsi="宋体"/>
          <w:bCs/>
          <w:spacing w:val="-6"/>
          <w:sz w:val="21"/>
          <w:szCs w:val="21"/>
          <w:lang w:eastAsia="zh-CN"/>
        </w:rPr>
        <w:t>QSZB-Z(F)-B24035(GK)</w:t>
      </w: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标</w:t>
      </w:r>
      <w:r>
        <w:rPr>
          <w:rFonts w:ascii="宋体" w:hAnsi="宋体"/>
          <w:bCs/>
          <w:spacing w:val="-6"/>
          <w:sz w:val="21"/>
          <w:szCs w:val="21"/>
        </w:rPr>
        <w:t>项</w:t>
      </w:r>
      <w:r>
        <w:rPr>
          <w:rFonts w:hint="eastAsia" w:ascii="宋体" w:hAnsi="宋体"/>
          <w:bCs/>
          <w:spacing w:val="-6"/>
          <w:sz w:val="21"/>
          <w:szCs w:val="21"/>
        </w:rPr>
        <w:t>：</w:t>
      </w: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投标人名称（盖章）：</w:t>
      </w: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投标人地址：</w:t>
      </w:r>
    </w:p>
    <w:p>
      <w:pPr>
        <w:adjustRightInd w:val="0"/>
        <w:snapToGrid w:val="0"/>
        <w:spacing w:line="288" w:lineRule="auto"/>
        <w:rPr>
          <w:rFonts w:ascii="宋体" w:hAnsi="宋体"/>
          <w:bCs/>
          <w:spacing w:val="-6"/>
          <w:sz w:val="21"/>
          <w:szCs w:val="21"/>
        </w:rPr>
      </w:pP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投标人代表签名：</w:t>
      </w: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日期：    年  月  日</w:t>
      </w:r>
    </w:p>
    <w:p>
      <w:pPr>
        <w:adjustRightInd w:val="0"/>
        <w:snapToGrid w:val="0"/>
        <w:spacing w:line="288" w:lineRule="auto"/>
        <w:jc w:val="center"/>
        <w:outlineLvl w:val="1"/>
        <w:rPr>
          <w:rFonts w:ascii="宋体" w:hAnsi="宋体"/>
          <w:b/>
          <w:spacing w:val="-6"/>
          <w:sz w:val="32"/>
          <w:szCs w:val="32"/>
        </w:rPr>
      </w:pPr>
      <w:r>
        <w:rPr>
          <w:rFonts w:ascii="宋体" w:hAnsi="宋体"/>
          <w:bCs/>
          <w:spacing w:val="-6"/>
          <w:sz w:val="21"/>
          <w:szCs w:val="21"/>
        </w:rPr>
        <w:br w:type="page"/>
      </w:r>
      <w:r>
        <w:rPr>
          <w:rFonts w:hint="eastAsia" w:ascii="宋体" w:hAnsi="宋体"/>
          <w:b/>
          <w:spacing w:val="-6"/>
          <w:sz w:val="32"/>
          <w:szCs w:val="32"/>
        </w:rPr>
        <w:t>报价文件</w:t>
      </w:r>
    </w:p>
    <w:p>
      <w:pPr>
        <w:adjustRightInd w:val="0"/>
        <w:snapToGrid w:val="0"/>
        <w:spacing w:line="288" w:lineRule="auto"/>
        <w:jc w:val="center"/>
        <w:outlineLvl w:val="2"/>
        <w:rPr>
          <w:rFonts w:ascii="宋体" w:hAnsi="宋体"/>
          <w:b/>
          <w:spacing w:val="-6"/>
          <w:sz w:val="21"/>
          <w:szCs w:val="21"/>
        </w:rPr>
      </w:pPr>
      <w:r>
        <w:rPr>
          <w:rFonts w:hint="eastAsia" w:ascii="宋体" w:hAnsi="宋体"/>
          <w:b/>
          <w:spacing w:val="-6"/>
          <w:sz w:val="21"/>
          <w:szCs w:val="21"/>
        </w:rPr>
        <w:t>（1）开标一览表</w:t>
      </w:r>
    </w:p>
    <w:p>
      <w:pPr>
        <w:adjustRightInd w:val="0"/>
        <w:snapToGrid w:val="0"/>
        <w:spacing w:line="288" w:lineRule="auto"/>
        <w:rPr>
          <w:rFonts w:ascii="宋体" w:hAnsi="宋体"/>
          <w:b/>
          <w:spacing w:val="-6"/>
          <w:sz w:val="21"/>
          <w:szCs w:val="21"/>
        </w:rPr>
      </w:pP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采 购 人：中国林业科学研究院亚热带林业研究所</w:t>
      </w: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项目名称：安全保洁物业服务</w:t>
      </w:r>
    </w:p>
    <w:p>
      <w:pPr>
        <w:adjustRightInd w:val="0"/>
        <w:snapToGrid w:val="0"/>
        <w:spacing w:line="288" w:lineRule="auto"/>
        <w:rPr>
          <w:rFonts w:hint="eastAsia" w:ascii="宋体" w:hAnsi="宋体" w:eastAsia="宋体"/>
          <w:bCs/>
          <w:spacing w:val="-6"/>
          <w:sz w:val="21"/>
          <w:szCs w:val="21"/>
          <w:lang w:eastAsia="zh-CN"/>
        </w:rPr>
      </w:pPr>
      <w:r>
        <w:rPr>
          <w:rFonts w:hint="eastAsia" w:ascii="宋体" w:hAnsi="宋体"/>
          <w:bCs/>
          <w:spacing w:val="-6"/>
          <w:sz w:val="21"/>
          <w:szCs w:val="21"/>
        </w:rPr>
        <w:t>项目编号：</w:t>
      </w:r>
      <w:r>
        <w:rPr>
          <w:rFonts w:hint="eastAsia" w:ascii="宋体" w:hAnsi="宋体"/>
          <w:bCs/>
          <w:spacing w:val="-6"/>
          <w:sz w:val="21"/>
          <w:szCs w:val="21"/>
          <w:lang w:eastAsia="zh-CN"/>
        </w:rPr>
        <w:t>QSZB-Z(F)-B24035(GK)</w:t>
      </w: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标    项：</w:t>
      </w:r>
    </w:p>
    <w:tbl>
      <w:tblPr>
        <w:tblStyle w:val="24"/>
        <w:tblW w:w="9918"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708"/>
        <w:gridCol w:w="1839"/>
        <w:gridCol w:w="708"/>
        <w:gridCol w:w="1702"/>
        <w:gridCol w:w="756"/>
        <w:gridCol w:w="1011"/>
        <w:gridCol w:w="1323"/>
        <w:gridCol w:w="1863"/>
        <w:gridCol w:w="8"/>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gridAfter w:val="1"/>
          <w:wAfter w:w="8" w:type="dxa"/>
          <w:trHeight w:val="340" w:hRule="atLeast"/>
        </w:trPr>
        <w:tc>
          <w:tcPr>
            <w:tcW w:w="70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序号</w:t>
            </w:r>
          </w:p>
        </w:tc>
        <w:tc>
          <w:tcPr>
            <w:tcW w:w="1839"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名称</w:t>
            </w:r>
          </w:p>
        </w:tc>
        <w:tc>
          <w:tcPr>
            <w:tcW w:w="708" w:type="dxa"/>
            <w:tcBorders>
              <w:top w:val="single" w:color="auto" w:sz="4" w:space="0"/>
              <w:left w:val="single" w:color="auto" w:sz="4" w:space="0"/>
              <w:bottom w:val="single" w:color="auto" w:sz="4" w:space="0"/>
              <w:right w:val="single" w:color="auto" w:sz="4" w:space="0"/>
            </w:tcBorders>
            <w:shd w:val="clear" w:color="auto" w:fill="FFFFFF"/>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品牌</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规格型号</w:t>
            </w:r>
          </w:p>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或具体服务</w:t>
            </w:r>
          </w:p>
        </w:tc>
        <w:tc>
          <w:tcPr>
            <w:tcW w:w="756" w:type="dxa"/>
            <w:tcBorders>
              <w:top w:val="single" w:color="auto" w:sz="4" w:space="0"/>
              <w:left w:val="single" w:color="auto" w:sz="4" w:space="0"/>
              <w:bottom w:val="single" w:color="auto" w:sz="4" w:space="0"/>
              <w:right w:val="single" w:color="auto" w:sz="4" w:space="0"/>
            </w:tcBorders>
            <w:shd w:val="clear" w:color="auto" w:fill="FFFFFF"/>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产地</w:t>
            </w:r>
          </w:p>
        </w:tc>
        <w:tc>
          <w:tcPr>
            <w:tcW w:w="1011" w:type="dxa"/>
            <w:tcBorders>
              <w:top w:val="single" w:color="auto" w:sz="4" w:space="0"/>
              <w:left w:val="single" w:color="auto" w:sz="4" w:space="0"/>
              <w:bottom w:val="single" w:color="auto" w:sz="4" w:space="0"/>
              <w:right w:val="single" w:color="auto" w:sz="4" w:space="0"/>
            </w:tcBorders>
            <w:shd w:val="clear" w:color="auto" w:fill="FFFFFF"/>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数量</w:t>
            </w:r>
          </w:p>
        </w:tc>
        <w:tc>
          <w:tcPr>
            <w:tcW w:w="132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单价（元）</w:t>
            </w:r>
          </w:p>
        </w:tc>
        <w:tc>
          <w:tcPr>
            <w:tcW w:w="186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金额（元）</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gridAfter w:val="1"/>
          <w:wAfter w:w="8" w:type="dxa"/>
          <w:trHeight w:val="340" w:hRule="atLeast"/>
        </w:trPr>
        <w:tc>
          <w:tcPr>
            <w:tcW w:w="70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288" w:lineRule="auto"/>
              <w:jc w:val="center"/>
              <w:rPr>
                <w:rFonts w:ascii="宋体" w:hAnsi="宋体" w:cs="宋体"/>
                <w:b/>
                <w:bCs/>
                <w:sz w:val="21"/>
                <w:szCs w:val="21"/>
              </w:rPr>
            </w:pPr>
          </w:p>
        </w:tc>
        <w:tc>
          <w:tcPr>
            <w:tcW w:w="1839"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288" w:lineRule="auto"/>
              <w:jc w:val="center"/>
              <w:rPr>
                <w:rFonts w:ascii="宋体" w:hAnsi="宋体" w:cs="宋体"/>
                <w:b/>
                <w:bCs/>
                <w:sz w:val="21"/>
                <w:szCs w:val="21"/>
              </w:rPr>
            </w:pPr>
          </w:p>
        </w:tc>
        <w:tc>
          <w:tcPr>
            <w:tcW w:w="708" w:type="dxa"/>
            <w:tcBorders>
              <w:top w:val="single" w:color="auto" w:sz="4" w:space="0"/>
              <w:left w:val="single" w:color="auto" w:sz="4" w:space="0"/>
              <w:bottom w:val="single" w:color="auto" w:sz="4" w:space="0"/>
              <w:right w:val="single" w:color="auto" w:sz="4" w:space="0"/>
            </w:tcBorders>
            <w:shd w:val="clear" w:color="auto" w:fill="FFFFFF"/>
            <w:vAlign w:val="center"/>
          </w:tcPr>
          <w:p>
            <w:pPr>
              <w:adjustRightInd w:val="0"/>
              <w:snapToGrid w:val="0"/>
              <w:spacing w:line="288" w:lineRule="auto"/>
              <w:jc w:val="center"/>
              <w:rPr>
                <w:rFonts w:ascii="宋体" w:hAnsi="宋体" w:cs="宋体"/>
                <w:b/>
                <w:bCs/>
                <w:sz w:val="21"/>
                <w:szCs w:val="21"/>
              </w:rPr>
            </w:pP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adjustRightInd w:val="0"/>
              <w:snapToGrid w:val="0"/>
              <w:spacing w:line="288" w:lineRule="auto"/>
              <w:jc w:val="center"/>
              <w:rPr>
                <w:rFonts w:ascii="宋体" w:hAnsi="宋体" w:cs="宋体"/>
                <w:b/>
                <w:bCs/>
                <w:sz w:val="21"/>
                <w:szCs w:val="21"/>
              </w:rPr>
            </w:pPr>
          </w:p>
        </w:tc>
        <w:tc>
          <w:tcPr>
            <w:tcW w:w="756" w:type="dxa"/>
            <w:tcBorders>
              <w:top w:val="single" w:color="auto" w:sz="4" w:space="0"/>
              <w:left w:val="single" w:color="auto" w:sz="4" w:space="0"/>
              <w:bottom w:val="single" w:color="auto" w:sz="4" w:space="0"/>
              <w:right w:val="single" w:color="auto" w:sz="4" w:space="0"/>
            </w:tcBorders>
            <w:shd w:val="clear" w:color="auto" w:fill="FFFFFF"/>
            <w:vAlign w:val="center"/>
          </w:tcPr>
          <w:p>
            <w:pPr>
              <w:adjustRightInd w:val="0"/>
              <w:snapToGrid w:val="0"/>
              <w:spacing w:line="288" w:lineRule="auto"/>
              <w:jc w:val="center"/>
              <w:rPr>
                <w:rFonts w:ascii="宋体" w:hAnsi="宋体" w:cs="宋体"/>
                <w:b/>
                <w:bCs/>
                <w:sz w:val="21"/>
                <w:szCs w:val="21"/>
              </w:rPr>
            </w:pPr>
          </w:p>
        </w:tc>
        <w:tc>
          <w:tcPr>
            <w:tcW w:w="1011" w:type="dxa"/>
            <w:tcBorders>
              <w:top w:val="single" w:color="auto" w:sz="4" w:space="0"/>
              <w:left w:val="single" w:color="auto" w:sz="4" w:space="0"/>
              <w:bottom w:val="single" w:color="auto" w:sz="4" w:space="0"/>
              <w:right w:val="single" w:color="auto" w:sz="4" w:space="0"/>
            </w:tcBorders>
            <w:shd w:val="clear" w:color="auto" w:fill="FFFFFF"/>
            <w:vAlign w:val="center"/>
          </w:tcPr>
          <w:p>
            <w:pPr>
              <w:adjustRightInd w:val="0"/>
              <w:snapToGrid w:val="0"/>
              <w:spacing w:line="288" w:lineRule="auto"/>
              <w:jc w:val="center"/>
              <w:rPr>
                <w:rFonts w:ascii="宋体" w:hAnsi="宋体" w:cs="宋体"/>
                <w:b/>
                <w:bCs/>
                <w:sz w:val="21"/>
                <w:szCs w:val="21"/>
              </w:rPr>
            </w:pPr>
          </w:p>
        </w:tc>
        <w:tc>
          <w:tcPr>
            <w:tcW w:w="132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cs="宋体"/>
                <w:b/>
                <w:bCs/>
                <w:sz w:val="21"/>
                <w:szCs w:val="21"/>
              </w:rPr>
            </w:pPr>
          </w:p>
        </w:tc>
        <w:tc>
          <w:tcPr>
            <w:tcW w:w="186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cs="宋体"/>
                <w:b/>
                <w:bCs/>
                <w:sz w:val="21"/>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gridAfter w:val="1"/>
          <w:wAfter w:w="8" w:type="dxa"/>
          <w:trHeight w:val="340" w:hRule="atLeast"/>
        </w:trPr>
        <w:tc>
          <w:tcPr>
            <w:tcW w:w="70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288" w:lineRule="auto"/>
              <w:jc w:val="center"/>
              <w:rPr>
                <w:rFonts w:ascii="宋体" w:hAnsi="宋体" w:cs="宋体"/>
                <w:b/>
                <w:bCs/>
                <w:sz w:val="21"/>
                <w:szCs w:val="21"/>
              </w:rPr>
            </w:pPr>
          </w:p>
        </w:tc>
        <w:tc>
          <w:tcPr>
            <w:tcW w:w="1839"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288" w:lineRule="auto"/>
              <w:jc w:val="center"/>
              <w:rPr>
                <w:rFonts w:ascii="宋体" w:hAnsi="宋体" w:cs="宋体"/>
                <w:b/>
                <w:bCs/>
                <w:sz w:val="21"/>
                <w:szCs w:val="21"/>
              </w:rPr>
            </w:pPr>
          </w:p>
        </w:tc>
        <w:tc>
          <w:tcPr>
            <w:tcW w:w="708" w:type="dxa"/>
            <w:tcBorders>
              <w:top w:val="single" w:color="auto" w:sz="4" w:space="0"/>
              <w:left w:val="single" w:color="auto" w:sz="4" w:space="0"/>
              <w:bottom w:val="single" w:color="auto" w:sz="4" w:space="0"/>
              <w:right w:val="single" w:color="auto" w:sz="4" w:space="0"/>
            </w:tcBorders>
            <w:shd w:val="clear" w:color="auto" w:fill="FFFFFF"/>
            <w:vAlign w:val="center"/>
          </w:tcPr>
          <w:p>
            <w:pPr>
              <w:adjustRightInd w:val="0"/>
              <w:snapToGrid w:val="0"/>
              <w:spacing w:line="288" w:lineRule="auto"/>
              <w:jc w:val="center"/>
              <w:rPr>
                <w:rFonts w:ascii="宋体" w:hAnsi="宋体" w:cs="宋体"/>
                <w:b/>
                <w:bCs/>
                <w:sz w:val="21"/>
                <w:szCs w:val="21"/>
              </w:rPr>
            </w:pP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adjustRightInd w:val="0"/>
              <w:snapToGrid w:val="0"/>
              <w:spacing w:line="288" w:lineRule="auto"/>
              <w:jc w:val="center"/>
              <w:rPr>
                <w:rFonts w:ascii="宋体" w:hAnsi="宋体" w:cs="宋体"/>
                <w:b/>
                <w:bCs/>
                <w:sz w:val="21"/>
                <w:szCs w:val="21"/>
              </w:rPr>
            </w:pPr>
          </w:p>
        </w:tc>
        <w:tc>
          <w:tcPr>
            <w:tcW w:w="756" w:type="dxa"/>
            <w:tcBorders>
              <w:top w:val="single" w:color="auto" w:sz="4" w:space="0"/>
              <w:left w:val="single" w:color="auto" w:sz="4" w:space="0"/>
              <w:bottom w:val="single" w:color="auto" w:sz="4" w:space="0"/>
              <w:right w:val="single" w:color="auto" w:sz="4" w:space="0"/>
            </w:tcBorders>
            <w:shd w:val="clear" w:color="auto" w:fill="FFFFFF"/>
            <w:vAlign w:val="center"/>
          </w:tcPr>
          <w:p>
            <w:pPr>
              <w:adjustRightInd w:val="0"/>
              <w:snapToGrid w:val="0"/>
              <w:spacing w:line="288" w:lineRule="auto"/>
              <w:jc w:val="center"/>
              <w:rPr>
                <w:rFonts w:ascii="宋体" w:hAnsi="宋体" w:cs="宋体"/>
                <w:b/>
                <w:bCs/>
                <w:sz w:val="21"/>
                <w:szCs w:val="21"/>
              </w:rPr>
            </w:pPr>
          </w:p>
        </w:tc>
        <w:tc>
          <w:tcPr>
            <w:tcW w:w="1011" w:type="dxa"/>
            <w:tcBorders>
              <w:top w:val="single" w:color="auto" w:sz="4" w:space="0"/>
              <w:left w:val="single" w:color="auto" w:sz="4" w:space="0"/>
              <w:bottom w:val="single" w:color="auto" w:sz="4" w:space="0"/>
              <w:right w:val="single" w:color="auto" w:sz="4" w:space="0"/>
            </w:tcBorders>
            <w:shd w:val="clear" w:color="auto" w:fill="FFFFFF"/>
            <w:vAlign w:val="center"/>
          </w:tcPr>
          <w:p>
            <w:pPr>
              <w:adjustRightInd w:val="0"/>
              <w:snapToGrid w:val="0"/>
              <w:spacing w:line="288" w:lineRule="auto"/>
              <w:jc w:val="center"/>
              <w:rPr>
                <w:rFonts w:ascii="宋体" w:hAnsi="宋体" w:cs="宋体"/>
                <w:b/>
                <w:bCs/>
                <w:sz w:val="21"/>
                <w:szCs w:val="21"/>
              </w:rPr>
            </w:pPr>
          </w:p>
        </w:tc>
        <w:tc>
          <w:tcPr>
            <w:tcW w:w="132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cs="宋体"/>
                <w:b/>
                <w:bCs/>
                <w:sz w:val="21"/>
                <w:szCs w:val="21"/>
              </w:rPr>
            </w:pPr>
          </w:p>
        </w:tc>
        <w:tc>
          <w:tcPr>
            <w:tcW w:w="186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cs="宋体"/>
                <w:b/>
                <w:bCs/>
                <w:sz w:val="21"/>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gridAfter w:val="1"/>
          <w:wAfter w:w="8" w:type="dxa"/>
          <w:trHeight w:val="340" w:hRule="atLeast"/>
        </w:trPr>
        <w:tc>
          <w:tcPr>
            <w:tcW w:w="70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288" w:lineRule="auto"/>
              <w:jc w:val="center"/>
              <w:rPr>
                <w:rFonts w:ascii="宋体" w:hAnsi="宋体" w:cs="宋体"/>
                <w:b/>
                <w:bCs/>
                <w:sz w:val="21"/>
                <w:szCs w:val="21"/>
              </w:rPr>
            </w:pPr>
          </w:p>
        </w:tc>
        <w:tc>
          <w:tcPr>
            <w:tcW w:w="1839"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288" w:lineRule="auto"/>
              <w:jc w:val="center"/>
              <w:rPr>
                <w:rFonts w:ascii="宋体" w:hAnsi="宋体" w:cs="宋体"/>
                <w:b/>
                <w:bCs/>
                <w:sz w:val="21"/>
                <w:szCs w:val="21"/>
              </w:rPr>
            </w:pPr>
          </w:p>
        </w:tc>
        <w:tc>
          <w:tcPr>
            <w:tcW w:w="708" w:type="dxa"/>
            <w:tcBorders>
              <w:top w:val="single" w:color="auto" w:sz="4" w:space="0"/>
              <w:left w:val="single" w:color="auto" w:sz="4" w:space="0"/>
              <w:bottom w:val="single" w:color="auto" w:sz="4" w:space="0"/>
              <w:right w:val="single" w:color="auto" w:sz="4" w:space="0"/>
            </w:tcBorders>
            <w:shd w:val="clear" w:color="auto" w:fill="FFFFFF"/>
            <w:vAlign w:val="center"/>
          </w:tcPr>
          <w:p>
            <w:pPr>
              <w:adjustRightInd w:val="0"/>
              <w:snapToGrid w:val="0"/>
              <w:spacing w:line="288" w:lineRule="auto"/>
              <w:jc w:val="center"/>
              <w:rPr>
                <w:rFonts w:ascii="宋体" w:hAnsi="宋体" w:cs="宋体"/>
                <w:b/>
                <w:bCs/>
                <w:sz w:val="21"/>
                <w:szCs w:val="21"/>
              </w:rPr>
            </w:pP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adjustRightInd w:val="0"/>
              <w:snapToGrid w:val="0"/>
              <w:spacing w:line="288" w:lineRule="auto"/>
              <w:jc w:val="center"/>
              <w:rPr>
                <w:rFonts w:ascii="宋体" w:hAnsi="宋体" w:cs="宋体"/>
                <w:b/>
                <w:bCs/>
                <w:sz w:val="21"/>
                <w:szCs w:val="21"/>
              </w:rPr>
            </w:pPr>
          </w:p>
        </w:tc>
        <w:tc>
          <w:tcPr>
            <w:tcW w:w="756" w:type="dxa"/>
            <w:tcBorders>
              <w:top w:val="single" w:color="auto" w:sz="4" w:space="0"/>
              <w:left w:val="single" w:color="auto" w:sz="4" w:space="0"/>
              <w:bottom w:val="single" w:color="auto" w:sz="4" w:space="0"/>
              <w:right w:val="single" w:color="auto" w:sz="4" w:space="0"/>
            </w:tcBorders>
            <w:shd w:val="clear" w:color="auto" w:fill="FFFFFF"/>
            <w:vAlign w:val="center"/>
          </w:tcPr>
          <w:p>
            <w:pPr>
              <w:adjustRightInd w:val="0"/>
              <w:snapToGrid w:val="0"/>
              <w:spacing w:line="288" w:lineRule="auto"/>
              <w:jc w:val="center"/>
              <w:rPr>
                <w:rFonts w:ascii="宋体" w:hAnsi="宋体" w:cs="宋体"/>
                <w:b/>
                <w:bCs/>
                <w:sz w:val="21"/>
                <w:szCs w:val="21"/>
              </w:rPr>
            </w:pPr>
          </w:p>
        </w:tc>
        <w:tc>
          <w:tcPr>
            <w:tcW w:w="1011" w:type="dxa"/>
            <w:tcBorders>
              <w:top w:val="single" w:color="auto" w:sz="4" w:space="0"/>
              <w:left w:val="single" w:color="auto" w:sz="4" w:space="0"/>
              <w:bottom w:val="single" w:color="auto" w:sz="4" w:space="0"/>
              <w:right w:val="single" w:color="auto" w:sz="4" w:space="0"/>
            </w:tcBorders>
            <w:shd w:val="clear" w:color="auto" w:fill="FFFFFF"/>
            <w:vAlign w:val="center"/>
          </w:tcPr>
          <w:p>
            <w:pPr>
              <w:adjustRightInd w:val="0"/>
              <w:snapToGrid w:val="0"/>
              <w:spacing w:line="288" w:lineRule="auto"/>
              <w:jc w:val="center"/>
              <w:rPr>
                <w:rFonts w:ascii="宋体" w:hAnsi="宋体" w:cs="宋体"/>
                <w:b/>
                <w:bCs/>
                <w:sz w:val="21"/>
                <w:szCs w:val="21"/>
              </w:rPr>
            </w:pPr>
          </w:p>
        </w:tc>
        <w:tc>
          <w:tcPr>
            <w:tcW w:w="132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cs="宋体"/>
                <w:b/>
                <w:bCs/>
                <w:sz w:val="21"/>
                <w:szCs w:val="21"/>
              </w:rPr>
            </w:pPr>
          </w:p>
        </w:tc>
        <w:tc>
          <w:tcPr>
            <w:tcW w:w="186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cs="宋体"/>
                <w:b/>
                <w:bCs/>
                <w:sz w:val="21"/>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gridAfter w:val="1"/>
          <w:wAfter w:w="8" w:type="dxa"/>
          <w:trHeight w:val="340" w:hRule="atLeast"/>
        </w:trPr>
        <w:tc>
          <w:tcPr>
            <w:tcW w:w="70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288" w:lineRule="auto"/>
              <w:jc w:val="center"/>
              <w:rPr>
                <w:rFonts w:ascii="宋体" w:hAnsi="宋体" w:cs="宋体"/>
                <w:b/>
                <w:bCs/>
                <w:sz w:val="21"/>
                <w:szCs w:val="21"/>
              </w:rPr>
            </w:pPr>
          </w:p>
        </w:tc>
        <w:tc>
          <w:tcPr>
            <w:tcW w:w="1839"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288" w:lineRule="auto"/>
              <w:jc w:val="center"/>
              <w:rPr>
                <w:rFonts w:ascii="宋体" w:hAnsi="宋体" w:cs="宋体"/>
                <w:b/>
                <w:bCs/>
                <w:sz w:val="21"/>
                <w:szCs w:val="21"/>
              </w:rPr>
            </w:pPr>
          </w:p>
        </w:tc>
        <w:tc>
          <w:tcPr>
            <w:tcW w:w="708" w:type="dxa"/>
            <w:tcBorders>
              <w:top w:val="single" w:color="auto" w:sz="4" w:space="0"/>
              <w:left w:val="single" w:color="auto" w:sz="4" w:space="0"/>
              <w:bottom w:val="single" w:color="auto" w:sz="4" w:space="0"/>
              <w:right w:val="single" w:color="auto" w:sz="4" w:space="0"/>
            </w:tcBorders>
            <w:shd w:val="clear" w:color="auto" w:fill="FFFFFF"/>
            <w:vAlign w:val="center"/>
          </w:tcPr>
          <w:p>
            <w:pPr>
              <w:adjustRightInd w:val="0"/>
              <w:snapToGrid w:val="0"/>
              <w:spacing w:line="288" w:lineRule="auto"/>
              <w:jc w:val="center"/>
              <w:rPr>
                <w:rFonts w:ascii="宋体" w:hAnsi="宋体" w:cs="宋体"/>
                <w:b/>
                <w:bCs/>
                <w:sz w:val="21"/>
                <w:szCs w:val="21"/>
              </w:rPr>
            </w:pP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adjustRightInd w:val="0"/>
              <w:snapToGrid w:val="0"/>
              <w:spacing w:line="288" w:lineRule="auto"/>
              <w:jc w:val="center"/>
              <w:rPr>
                <w:rFonts w:ascii="宋体" w:hAnsi="宋体" w:cs="宋体"/>
                <w:b/>
                <w:bCs/>
                <w:sz w:val="21"/>
                <w:szCs w:val="21"/>
              </w:rPr>
            </w:pPr>
          </w:p>
        </w:tc>
        <w:tc>
          <w:tcPr>
            <w:tcW w:w="756" w:type="dxa"/>
            <w:tcBorders>
              <w:top w:val="single" w:color="auto" w:sz="4" w:space="0"/>
              <w:left w:val="single" w:color="auto" w:sz="4" w:space="0"/>
              <w:bottom w:val="single" w:color="auto" w:sz="4" w:space="0"/>
              <w:right w:val="single" w:color="auto" w:sz="4" w:space="0"/>
            </w:tcBorders>
            <w:shd w:val="clear" w:color="auto" w:fill="FFFFFF"/>
            <w:vAlign w:val="center"/>
          </w:tcPr>
          <w:p>
            <w:pPr>
              <w:adjustRightInd w:val="0"/>
              <w:snapToGrid w:val="0"/>
              <w:spacing w:line="288" w:lineRule="auto"/>
              <w:jc w:val="center"/>
              <w:rPr>
                <w:rFonts w:ascii="宋体" w:hAnsi="宋体" w:cs="宋体"/>
                <w:b/>
                <w:bCs/>
                <w:sz w:val="21"/>
                <w:szCs w:val="21"/>
              </w:rPr>
            </w:pPr>
          </w:p>
        </w:tc>
        <w:tc>
          <w:tcPr>
            <w:tcW w:w="1011" w:type="dxa"/>
            <w:tcBorders>
              <w:top w:val="single" w:color="auto" w:sz="4" w:space="0"/>
              <w:left w:val="single" w:color="auto" w:sz="4" w:space="0"/>
              <w:bottom w:val="single" w:color="auto" w:sz="4" w:space="0"/>
              <w:right w:val="single" w:color="auto" w:sz="4" w:space="0"/>
            </w:tcBorders>
            <w:shd w:val="clear" w:color="auto" w:fill="FFFFFF"/>
            <w:vAlign w:val="center"/>
          </w:tcPr>
          <w:p>
            <w:pPr>
              <w:adjustRightInd w:val="0"/>
              <w:snapToGrid w:val="0"/>
              <w:spacing w:line="288" w:lineRule="auto"/>
              <w:jc w:val="center"/>
              <w:rPr>
                <w:rFonts w:ascii="宋体" w:hAnsi="宋体" w:cs="宋体"/>
                <w:b/>
                <w:bCs/>
                <w:sz w:val="21"/>
                <w:szCs w:val="21"/>
              </w:rPr>
            </w:pPr>
          </w:p>
        </w:tc>
        <w:tc>
          <w:tcPr>
            <w:tcW w:w="132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cs="宋体"/>
                <w:b/>
                <w:bCs/>
                <w:sz w:val="21"/>
                <w:szCs w:val="21"/>
              </w:rPr>
            </w:pPr>
          </w:p>
        </w:tc>
        <w:tc>
          <w:tcPr>
            <w:tcW w:w="186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cs="宋体"/>
                <w:b/>
                <w:bCs/>
                <w:sz w:val="21"/>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gridAfter w:val="1"/>
          <w:wAfter w:w="8" w:type="dxa"/>
          <w:trHeight w:val="340" w:hRule="atLeast"/>
        </w:trPr>
        <w:tc>
          <w:tcPr>
            <w:tcW w:w="70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288" w:lineRule="auto"/>
              <w:jc w:val="center"/>
              <w:rPr>
                <w:rFonts w:ascii="宋体" w:hAnsi="宋体" w:cs="宋体"/>
                <w:b/>
                <w:bCs/>
                <w:sz w:val="21"/>
                <w:szCs w:val="21"/>
              </w:rPr>
            </w:pPr>
          </w:p>
        </w:tc>
        <w:tc>
          <w:tcPr>
            <w:tcW w:w="1839"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288" w:lineRule="auto"/>
              <w:jc w:val="center"/>
              <w:rPr>
                <w:rFonts w:ascii="宋体" w:hAnsi="宋体" w:cs="宋体"/>
                <w:b/>
                <w:bCs/>
                <w:sz w:val="21"/>
                <w:szCs w:val="21"/>
              </w:rPr>
            </w:pPr>
          </w:p>
        </w:tc>
        <w:tc>
          <w:tcPr>
            <w:tcW w:w="708" w:type="dxa"/>
            <w:tcBorders>
              <w:top w:val="single" w:color="auto" w:sz="4" w:space="0"/>
              <w:left w:val="single" w:color="auto" w:sz="4" w:space="0"/>
              <w:bottom w:val="single" w:color="auto" w:sz="4" w:space="0"/>
              <w:right w:val="single" w:color="auto" w:sz="4" w:space="0"/>
            </w:tcBorders>
            <w:shd w:val="clear" w:color="auto" w:fill="FFFFFF"/>
            <w:vAlign w:val="center"/>
          </w:tcPr>
          <w:p>
            <w:pPr>
              <w:adjustRightInd w:val="0"/>
              <w:snapToGrid w:val="0"/>
              <w:spacing w:line="288" w:lineRule="auto"/>
              <w:jc w:val="center"/>
              <w:rPr>
                <w:rFonts w:ascii="宋体" w:hAnsi="宋体" w:cs="宋体"/>
                <w:b/>
                <w:bCs/>
                <w:sz w:val="21"/>
                <w:szCs w:val="21"/>
              </w:rPr>
            </w:pP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adjustRightInd w:val="0"/>
              <w:snapToGrid w:val="0"/>
              <w:spacing w:line="288" w:lineRule="auto"/>
              <w:jc w:val="center"/>
              <w:rPr>
                <w:rFonts w:ascii="宋体" w:hAnsi="宋体" w:cs="宋体"/>
                <w:b/>
                <w:bCs/>
                <w:sz w:val="21"/>
                <w:szCs w:val="21"/>
              </w:rPr>
            </w:pPr>
          </w:p>
        </w:tc>
        <w:tc>
          <w:tcPr>
            <w:tcW w:w="756" w:type="dxa"/>
            <w:tcBorders>
              <w:top w:val="single" w:color="auto" w:sz="4" w:space="0"/>
              <w:left w:val="single" w:color="auto" w:sz="4" w:space="0"/>
              <w:bottom w:val="single" w:color="auto" w:sz="4" w:space="0"/>
              <w:right w:val="single" w:color="auto" w:sz="4" w:space="0"/>
            </w:tcBorders>
            <w:shd w:val="clear" w:color="auto" w:fill="FFFFFF"/>
            <w:vAlign w:val="center"/>
          </w:tcPr>
          <w:p>
            <w:pPr>
              <w:adjustRightInd w:val="0"/>
              <w:snapToGrid w:val="0"/>
              <w:spacing w:line="288" w:lineRule="auto"/>
              <w:jc w:val="center"/>
              <w:rPr>
                <w:rFonts w:ascii="宋体" w:hAnsi="宋体" w:cs="宋体"/>
                <w:b/>
                <w:bCs/>
                <w:sz w:val="21"/>
                <w:szCs w:val="21"/>
              </w:rPr>
            </w:pPr>
          </w:p>
        </w:tc>
        <w:tc>
          <w:tcPr>
            <w:tcW w:w="1011" w:type="dxa"/>
            <w:tcBorders>
              <w:top w:val="single" w:color="auto" w:sz="4" w:space="0"/>
              <w:left w:val="single" w:color="auto" w:sz="4" w:space="0"/>
              <w:bottom w:val="single" w:color="auto" w:sz="4" w:space="0"/>
              <w:right w:val="single" w:color="auto" w:sz="4" w:space="0"/>
            </w:tcBorders>
            <w:shd w:val="clear" w:color="auto" w:fill="FFFFFF"/>
            <w:vAlign w:val="center"/>
          </w:tcPr>
          <w:p>
            <w:pPr>
              <w:adjustRightInd w:val="0"/>
              <w:snapToGrid w:val="0"/>
              <w:spacing w:line="288" w:lineRule="auto"/>
              <w:jc w:val="center"/>
              <w:rPr>
                <w:rFonts w:ascii="宋体" w:hAnsi="宋体" w:cs="宋体"/>
                <w:b/>
                <w:bCs/>
                <w:sz w:val="21"/>
                <w:szCs w:val="21"/>
              </w:rPr>
            </w:pPr>
          </w:p>
        </w:tc>
        <w:tc>
          <w:tcPr>
            <w:tcW w:w="132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cs="宋体"/>
                <w:b/>
                <w:bCs/>
                <w:sz w:val="21"/>
                <w:szCs w:val="21"/>
              </w:rPr>
            </w:pPr>
          </w:p>
        </w:tc>
        <w:tc>
          <w:tcPr>
            <w:tcW w:w="186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cs="宋体"/>
                <w:b/>
                <w:bCs/>
                <w:sz w:val="21"/>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9918" w:type="dxa"/>
            <w:gridSpan w:val="9"/>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left"/>
              <w:rPr>
                <w:rFonts w:ascii="宋体" w:hAnsi="宋体" w:cs="宋体"/>
                <w:b/>
                <w:bCs/>
                <w:sz w:val="21"/>
                <w:szCs w:val="21"/>
              </w:rPr>
            </w:pPr>
            <w:r>
              <w:rPr>
                <w:rFonts w:hint="eastAsia" w:ascii="宋体" w:hAnsi="宋体"/>
                <w:b/>
                <w:spacing w:val="-6"/>
                <w:sz w:val="21"/>
                <w:szCs w:val="21"/>
              </w:rPr>
              <w:t>说明：</w:t>
            </w:r>
            <w:r>
              <w:rPr>
                <w:rFonts w:hint="eastAsia" w:ascii="宋体" w:hAnsi="宋体"/>
                <w:bCs/>
                <w:spacing w:val="-6"/>
                <w:sz w:val="21"/>
                <w:szCs w:val="21"/>
              </w:rPr>
              <w:t>▲采购人将以合同形式有偿取得货物或服务，不接受投标人给予的赠品、回扣或者与采购无关的其他商品、服务。</w:t>
            </w:r>
          </w:p>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投标总价（人民币元）</w:t>
            </w:r>
          </w:p>
          <w:p>
            <w:pPr>
              <w:adjustRightInd w:val="0"/>
              <w:snapToGrid w:val="0"/>
              <w:spacing w:line="288" w:lineRule="auto"/>
              <w:rPr>
                <w:rFonts w:ascii="宋体" w:hAnsi="宋体" w:cs="宋体"/>
                <w:b/>
                <w:bCs/>
                <w:sz w:val="21"/>
                <w:szCs w:val="21"/>
              </w:rPr>
            </w:pPr>
          </w:p>
          <w:p>
            <w:pPr>
              <w:adjustRightInd w:val="0"/>
              <w:snapToGrid w:val="0"/>
              <w:spacing w:line="288" w:lineRule="auto"/>
              <w:rPr>
                <w:rFonts w:ascii="宋体" w:hAnsi="宋体" w:cs="宋体"/>
                <w:b/>
                <w:bCs/>
                <w:sz w:val="21"/>
                <w:szCs w:val="21"/>
              </w:rPr>
            </w:pPr>
            <w:r>
              <w:rPr>
                <w:rFonts w:hint="eastAsia" w:ascii="宋体" w:hAnsi="宋体" w:cs="宋体"/>
                <w:b/>
                <w:bCs/>
                <w:sz w:val="21"/>
                <w:szCs w:val="21"/>
              </w:rPr>
              <w:t>小写：_________________________</w:t>
            </w:r>
          </w:p>
          <w:p>
            <w:pPr>
              <w:adjustRightInd w:val="0"/>
              <w:snapToGrid w:val="0"/>
              <w:spacing w:line="288" w:lineRule="auto"/>
              <w:rPr>
                <w:rFonts w:ascii="宋体" w:hAnsi="宋体" w:cs="宋体"/>
                <w:b/>
                <w:bCs/>
                <w:sz w:val="21"/>
                <w:szCs w:val="21"/>
              </w:rPr>
            </w:pPr>
          </w:p>
          <w:p>
            <w:pPr>
              <w:adjustRightInd w:val="0"/>
              <w:snapToGrid w:val="0"/>
              <w:spacing w:line="288" w:lineRule="auto"/>
              <w:rPr>
                <w:rFonts w:ascii="宋体" w:hAnsi="宋体" w:cs="宋体"/>
                <w:b/>
                <w:bCs/>
                <w:sz w:val="21"/>
                <w:szCs w:val="21"/>
              </w:rPr>
            </w:pPr>
            <w:r>
              <w:rPr>
                <w:rFonts w:hint="eastAsia" w:ascii="宋体" w:hAnsi="宋体" w:cs="宋体"/>
                <w:b/>
                <w:bCs/>
                <w:sz w:val="21"/>
                <w:szCs w:val="21"/>
              </w:rPr>
              <w:t>大写：_________________________</w:t>
            </w:r>
          </w:p>
          <w:p>
            <w:pPr>
              <w:adjustRightInd w:val="0"/>
              <w:snapToGrid w:val="0"/>
              <w:spacing w:line="288" w:lineRule="auto"/>
              <w:rPr>
                <w:rFonts w:ascii="宋体" w:hAnsi="宋体" w:cs="宋体"/>
                <w:b/>
                <w:bCs/>
                <w:sz w:val="21"/>
                <w:szCs w:val="21"/>
              </w:rPr>
            </w:pPr>
          </w:p>
        </w:tc>
      </w:tr>
    </w:tbl>
    <w:p>
      <w:pPr>
        <w:adjustRightInd w:val="0"/>
        <w:snapToGrid w:val="0"/>
        <w:spacing w:line="288" w:lineRule="auto"/>
        <w:rPr>
          <w:rFonts w:ascii="宋体" w:hAnsi="宋体"/>
          <w:spacing w:val="-6"/>
          <w:sz w:val="21"/>
          <w:szCs w:val="21"/>
        </w:rPr>
      </w:pPr>
    </w:p>
    <w:p>
      <w:pPr>
        <w:adjustRightInd w:val="0"/>
        <w:snapToGrid w:val="0"/>
        <w:spacing w:line="288" w:lineRule="auto"/>
        <w:rPr>
          <w:rFonts w:ascii="宋体" w:hAnsi="宋体"/>
          <w:b/>
          <w:bCs/>
          <w:spacing w:val="-6"/>
          <w:sz w:val="21"/>
          <w:szCs w:val="21"/>
        </w:rPr>
      </w:pPr>
      <w:r>
        <w:rPr>
          <w:rFonts w:hint="eastAsia" w:ascii="宋体" w:hAnsi="宋体"/>
          <w:b/>
          <w:bCs/>
          <w:spacing w:val="-6"/>
          <w:sz w:val="21"/>
          <w:szCs w:val="21"/>
        </w:rPr>
        <w:t>说明：</w:t>
      </w:r>
    </w:p>
    <w:p>
      <w:pPr>
        <w:adjustRightInd w:val="0"/>
        <w:snapToGrid w:val="0"/>
        <w:spacing w:line="288" w:lineRule="auto"/>
        <w:rPr>
          <w:rFonts w:ascii="宋体" w:hAnsi="宋体"/>
          <w:bCs/>
          <w:spacing w:val="-6"/>
          <w:sz w:val="21"/>
          <w:szCs w:val="21"/>
        </w:rPr>
      </w:pPr>
      <w:r>
        <w:rPr>
          <w:rFonts w:ascii="宋体" w:hAnsi="宋体"/>
          <w:bCs/>
          <w:spacing w:val="-6"/>
          <w:sz w:val="21"/>
          <w:szCs w:val="21"/>
        </w:rPr>
        <w:t>1.</w:t>
      </w:r>
      <w:r>
        <w:rPr>
          <w:rFonts w:hint="eastAsia" w:ascii="宋体" w:hAnsi="宋体"/>
          <w:bCs/>
          <w:spacing w:val="-6"/>
          <w:sz w:val="21"/>
          <w:szCs w:val="21"/>
        </w:rPr>
        <w:t>此表在不改变格式要求的情况下，可自行增行。</w:t>
      </w:r>
    </w:p>
    <w:p>
      <w:pPr>
        <w:adjustRightInd w:val="0"/>
        <w:snapToGrid w:val="0"/>
        <w:spacing w:line="288" w:lineRule="auto"/>
        <w:jc w:val="left"/>
        <w:rPr>
          <w:rFonts w:ascii="宋体" w:hAnsi="宋体"/>
          <w:b/>
          <w:spacing w:val="-6"/>
          <w:sz w:val="21"/>
          <w:szCs w:val="21"/>
        </w:rPr>
      </w:pPr>
      <w:r>
        <w:rPr>
          <w:rFonts w:ascii="宋体" w:hAnsi="宋体"/>
          <w:bCs/>
          <w:spacing w:val="-6"/>
          <w:sz w:val="21"/>
          <w:szCs w:val="21"/>
        </w:rPr>
        <w:t>2.有关本项目实施所涉及的一切费用均计入报价。</w:t>
      </w:r>
    </w:p>
    <w:p>
      <w:pPr>
        <w:adjustRightInd w:val="0"/>
        <w:snapToGrid w:val="0"/>
        <w:spacing w:line="288" w:lineRule="auto"/>
        <w:jc w:val="left"/>
        <w:rPr>
          <w:rFonts w:ascii="宋体" w:hAnsi="宋体"/>
          <w:b/>
          <w:spacing w:val="-6"/>
          <w:sz w:val="21"/>
          <w:szCs w:val="21"/>
        </w:rPr>
      </w:pPr>
      <w:r>
        <w:rPr>
          <w:rFonts w:ascii="宋体" w:hAnsi="宋体"/>
          <w:b/>
          <w:spacing w:val="-6"/>
          <w:sz w:val="21"/>
          <w:szCs w:val="21"/>
        </w:rPr>
        <w:t>3.以上表格要求细分项目及报价。</w:t>
      </w:r>
    </w:p>
    <w:p>
      <w:pPr>
        <w:adjustRightInd w:val="0"/>
        <w:snapToGrid w:val="0"/>
        <w:spacing w:line="288" w:lineRule="auto"/>
        <w:jc w:val="left"/>
        <w:rPr>
          <w:rFonts w:ascii="宋体" w:hAnsi="宋体"/>
          <w:b/>
          <w:spacing w:val="-6"/>
          <w:sz w:val="21"/>
          <w:szCs w:val="21"/>
        </w:rPr>
      </w:pPr>
      <w:bookmarkStart w:id="47" w:name="_GoBack"/>
      <w:bookmarkEnd w:id="47"/>
    </w:p>
    <w:p>
      <w:pPr>
        <w:adjustRightInd w:val="0"/>
        <w:snapToGrid w:val="0"/>
        <w:spacing w:line="288" w:lineRule="auto"/>
        <w:rPr>
          <w:rFonts w:ascii="宋体" w:hAnsi="宋体"/>
          <w:sz w:val="21"/>
          <w:szCs w:val="21"/>
        </w:rPr>
      </w:pPr>
    </w:p>
    <w:p>
      <w:pPr>
        <w:adjustRightInd w:val="0"/>
        <w:snapToGrid w:val="0"/>
        <w:spacing w:line="288" w:lineRule="auto"/>
        <w:rPr>
          <w:rFonts w:ascii="宋体" w:hAnsi="宋体"/>
          <w:b/>
          <w:bCs/>
          <w:spacing w:val="-6"/>
          <w:sz w:val="21"/>
          <w:szCs w:val="21"/>
        </w:rPr>
      </w:pPr>
      <w:r>
        <w:rPr>
          <w:rFonts w:hint="eastAsia" w:ascii="宋体" w:hAnsi="宋体"/>
          <w:b/>
          <w:bCs/>
          <w:spacing w:val="-6"/>
          <w:sz w:val="21"/>
          <w:szCs w:val="21"/>
        </w:rPr>
        <w:t>投标人名称（盖章）：</w:t>
      </w:r>
    </w:p>
    <w:p>
      <w:pPr>
        <w:adjustRightInd w:val="0"/>
        <w:snapToGrid w:val="0"/>
        <w:spacing w:line="288" w:lineRule="auto"/>
        <w:rPr>
          <w:rFonts w:ascii="宋体" w:hAnsi="宋体"/>
          <w:b/>
          <w:bCs/>
          <w:spacing w:val="-6"/>
          <w:sz w:val="21"/>
          <w:szCs w:val="21"/>
        </w:rPr>
      </w:pPr>
      <w:r>
        <w:rPr>
          <w:rFonts w:hint="eastAsia" w:ascii="宋体" w:hAnsi="宋体"/>
          <w:b/>
          <w:bCs/>
          <w:spacing w:val="-6"/>
          <w:sz w:val="21"/>
          <w:szCs w:val="21"/>
        </w:rPr>
        <w:t>投标人代表签名：</w:t>
      </w:r>
    </w:p>
    <w:p>
      <w:pPr>
        <w:adjustRightInd w:val="0"/>
        <w:snapToGrid w:val="0"/>
        <w:spacing w:line="288" w:lineRule="auto"/>
        <w:rPr>
          <w:rFonts w:ascii="宋体" w:hAnsi="宋体"/>
          <w:b/>
          <w:bCs/>
          <w:spacing w:val="-6"/>
          <w:sz w:val="21"/>
          <w:szCs w:val="21"/>
        </w:rPr>
      </w:pPr>
      <w:r>
        <w:rPr>
          <w:rFonts w:hint="eastAsia" w:ascii="宋体" w:hAnsi="宋体"/>
          <w:b/>
          <w:bCs/>
          <w:spacing w:val="-6"/>
          <w:sz w:val="21"/>
          <w:szCs w:val="21"/>
        </w:rPr>
        <w:t>日期：     年   月   日</w:t>
      </w:r>
    </w:p>
    <w:p>
      <w:pPr>
        <w:pStyle w:val="15"/>
        <w:adjustRightInd w:val="0"/>
        <w:snapToGrid w:val="0"/>
        <w:spacing w:beforeLines="0" w:afterLines="0" w:line="288" w:lineRule="auto"/>
        <w:jc w:val="center"/>
        <w:outlineLvl w:val="1"/>
        <w:rPr>
          <w:rFonts w:hAnsi="宋体"/>
          <w:b/>
          <w:bCs/>
          <w:sz w:val="21"/>
          <w:szCs w:val="21"/>
        </w:rPr>
      </w:pPr>
      <w:r>
        <w:rPr>
          <w:rFonts w:hAnsi="宋体"/>
          <w:b/>
          <w:spacing w:val="-6"/>
          <w:sz w:val="21"/>
          <w:szCs w:val="21"/>
        </w:rPr>
        <w:br w:type="page"/>
      </w:r>
    </w:p>
    <w:p>
      <w:pPr>
        <w:pStyle w:val="11"/>
        <w:adjustRightInd w:val="0"/>
        <w:snapToGrid w:val="0"/>
        <w:spacing w:line="288" w:lineRule="auto"/>
        <w:jc w:val="center"/>
        <w:rPr>
          <w:rFonts w:hAnsi="宋体"/>
          <w:b/>
          <w:bCs/>
          <w:spacing w:val="-6"/>
          <w:sz w:val="21"/>
          <w:szCs w:val="21"/>
        </w:rPr>
      </w:pPr>
      <w:r>
        <w:rPr>
          <w:rFonts w:hint="eastAsia" w:hAnsi="宋体"/>
          <w:b/>
          <w:bCs/>
          <w:spacing w:val="-6"/>
          <w:sz w:val="21"/>
          <w:szCs w:val="21"/>
        </w:rPr>
        <w:t>外层包装（封签）</w:t>
      </w:r>
    </w:p>
    <w:p>
      <w:pPr>
        <w:adjustRightInd w:val="0"/>
        <w:snapToGrid w:val="0"/>
        <w:spacing w:line="288" w:lineRule="auto"/>
        <w:rPr>
          <w:rFonts w:ascii="宋体" w:hAnsi="宋体"/>
          <w:spacing w:val="-6"/>
          <w:sz w:val="21"/>
          <w:szCs w:val="21"/>
        </w:rPr>
      </w:pPr>
    </w:p>
    <w:p>
      <w:pPr>
        <w:adjustRightInd w:val="0"/>
        <w:snapToGrid w:val="0"/>
        <w:spacing w:line="288" w:lineRule="auto"/>
        <w:rPr>
          <w:rFonts w:ascii="宋体" w:hAnsi="宋体"/>
          <w:spacing w:val="-6"/>
          <w:sz w:val="21"/>
          <w:szCs w:val="21"/>
        </w:rPr>
      </w:pPr>
    </w:p>
    <w:p>
      <w:pPr>
        <w:adjustRightInd w:val="0"/>
        <w:snapToGrid w:val="0"/>
        <w:spacing w:line="288" w:lineRule="auto"/>
        <w:jc w:val="center"/>
        <w:rPr>
          <w:rFonts w:ascii="宋体" w:hAnsi="宋体"/>
          <w:bCs/>
          <w:spacing w:val="-6"/>
          <w:sz w:val="21"/>
          <w:szCs w:val="21"/>
        </w:rPr>
      </w:pPr>
      <w:r>
        <w:rPr>
          <w:rFonts w:hint="eastAsia" w:ascii="宋体" w:hAnsi="宋体"/>
          <w:bCs/>
          <w:spacing w:val="-6"/>
          <w:sz w:val="21"/>
          <w:szCs w:val="21"/>
        </w:rPr>
        <w:t>____________________（投标人名称）</w:t>
      </w:r>
    </w:p>
    <w:p>
      <w:pPr>
        <w:adjustRightInd w:val="0"/>
        <w:snapToGrid w:val="0"/>
        <w:spacing w:line="288" w:lineRule="auto"/>
        <w:jc w:val="center"/>
        <w:rPr>
          <w:rFonts w:ascii="宋体" w:hAnsi="宋体"/>
          <w:b/>
          <w:bCs/>
          <w:spacing w:val="-6"/>
          <w:sz w:val="21"/>
          <w:szCs w:val="21"/>
        </w:rPr>
      </w:pPr>
      <w:r>
        <w:rPr>
          <w:rFonts w:hint="eastAsia" w:ascii="宋体" w:hAnsi="宋体"/>
          <w:b/>
          <w:bCs/>
          <w:spacing w:val="-6"/>
          <w:sz w:val="21"/>
          <w:szCs w:val="21"/>
        </w:rPr>
        <w:t>投 标 文 件</w:t>
      </w:r>
    </w:p>
    <w:p>
      <w:pPr>
        <w:adjustRightInd w:val="0"/>
        <w:snapToGrid w:val="0"/>
        <w:spacing w:line="288" w:lineRule="auto"/>
        <w:jc w:val="center"/>
        <w:rPr>
          <w:rFonts w:ascii="宋体" w:hAnsi="宋体"/>
          <w:bCs/>
          <w:spacing w:val="-6"/>
          <w:sz w:val="21"/>
          <w:szCs w:val="21"/>
        </w:rPr>
      </w:pPr>
      <w:r>
        <w:rPr>
          <w:rFonts w:hint="eastAsia" w:ascii="宋体" w:hAnsi="宋体"/>
          <w:bCs/>
          <w:spacing w:val="-6"/>
          <w:sz w:val="21"/>
          <w:szCs w:val="21"/>
        </w:rPr>
        <w:t>（资格文件、商务和技术文件）</w:t>
      </w:r>
    </w:p>
    <w:p>
      <w:pPr>
        <w:adjustRightInd w:val="0"/>
        <w:snapToGrid w:val="0"/>
        <w:spacing w:line="288" w:lineRule="auto"/>
        <w:rPr>
          <w:rFonts w:ascii="宋体" w:hAnsi="宋体"/>
          <w:bCs/>
          <w:spacing w:val="-6"/>
          <w:sz w:val="21"/>
          <w:szCs w:val="21"/>
        </w:rPr>
      </w:pP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采购人：中国林业科学研究院亚热带林业研究所</w:t>
      </w: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项目名称：安全保洁物业服务</w:t>
      </w:r>
    </w:p>
    <w:p>
      <w:pPr>
        <w:adjustRightInd w:val="0"/>
        <w:snapToGrid w:val="0"/>
        <w:spacing w:line="288" w:lineRule="auto"/>
        <w:rPr>
          <w:rFonts w:hint="eastAsia" w:ascii="宋体" w:hAnsi="宋体" w:eastAsia="宋体"/>
          <w:bCs/>
          <w:spacing w:val="-6"/>
          <w:sz w:val="21"/>
          <w:szCs w:val="21"/>
          <w:lang w:eastAsia="zh-CN"/>
        </w:rPr>
      </w:pPr>
      <w:r>
        <w:rPr>
          <w:rFonts w:hint="eastAsia" w:ascii="宋体" w:hAnsi="宋体"/>
          <w:bCs/>
          <w:spacing w:val="-6"/>
          <w:sz w:val="21"/>
          <w:szCs w:val="21"/>
        </w:rPr>
        <w:t>项目编号：</w:t>
      </w:r>
      <w:r>
        <w:rPr>
          <w:rFonts w:hint="eastAsia" w:ascii="宋体" w:hAnsi="宋体"/>
          <w:bCs/>
          <w:spacing w:val="-6"/>
          <w:sz w:val="21"/>
          <w:szCs w:val="21"/>
          <w:lang w:eastAsia="zh-CN"/>
        </w:rPr>
        <w:t>QSZB-Z(F)-B24035(GK)</w:t>
      </w: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标项：</w:t>
      </w: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投标人名称（盖章）：</w:t>
      </w: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投标人地址：</w:t>
      </w: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在  年  月  日  时  分之前不得启封</w:t>
      </w:r>
    </w:p>
    <w:p>
      <w:pPr>
        <w:adjustRightInd w:val="0"/>
        <w:snapToGrid w:val="0"/>
        <w:spacing w:line="288" w:lineRule="auto"/>
        <w:rPr>
          <w:rFonts w:ascii="宋体" w:hAnsi="宋体"/>
          <w:bCs/>
          <w:spacing w:val="-6"/>
          <w:sz w:val="21"/>
          <w:szCs w:val="21"/>
        </w:rPr>
      </w:pPr>
    </w:p>
    <w:p>
      <w:pPr>
        <w:adjustRightInd w:val="0"/>
        <w:snapToGrid w:val="0"/>
        <w:spacing w:line="288" w:lineRule="auto"/>
        <w:rPr>
          <w:rFonts w:ascii="宋体" w:hAnsi="宋体"/>
          <w:bCs/>
          <w:spacing w:val="-6"/>
          <w:sz w:val="21"/>
          <w:szCs w:val="21"/>
        </w:rPr>
      </w:pPr>
      <w:r>
        <w:rPr>
          <w:rFonts w:hint="eastAsia" w:ascii="宋体" w:hAnsi="宋体"/>
          <w:spacing w:val="-6"/>
          <w:sz w:val="21"/>
          <w:szCs w:val="21"/>
        </w:rPr>
        <w:t>投标人代表签名</w:t>
      </w:r>
      <w:r>
        <w:rPr>
          <w:rFonts w:hint="eastAsia" w:ascii="宋体" w:hAnsi="宋体"/>
          <w:bCs/>
          <w:spacing w:val="-6"/>
          <w:sz w:val="21"/>
          <w:szCs w:val="21"/>
        </w:rPr>
        <w:t>：</w:t>
      </w: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日期：    年  月  日</w:t>
      </w:r>
    </w:p>
    <w:p>
      <w:pPr>
        <w:adjustRightInd w:val="0"/>
        <w:snapToGrid w:val="0"/>
        <w:spacing w:line="288" w:lineRule="auto"/>
        <w:rPr>
          <w:rFonts w:ascii="宋体" w:hAnsi="宋体"/>
          <w:spacing w:val="-6"/>
          <w:sz w:val="21"/>
          <w:szCs w:val="21"/>
        </w:rPr>
      </w:pPr>
      <w:r>
        <w:rPr>
          <w:rFonts w:ascii="宋体" w:hAnsi="宋体"/>
          <w:bCs/>
          <w:spacing w:val="-6"/>
          <w:sz w:val="21"/>
          <w:szCs w:val="21"/>
        </w:rPr>
        <w:br w:type="page"/>
      </w:r>
      <w:r>
        <w:rPr>
          <w:rFonts w:hint="eastAsia" w:ascii="宋体" w:hAnsi="宋体"/>
          <w:bCs/>
          <w:spacing w:val="-6"/>
          <w:sz w:val="21"/>
          <w:szCs w:val="21"/>
        </w:rPr>
        <w:t>资格文件、商务和技术文件</w:t>
      </w:r>
      <w:r>
        <w:rPr>
          <w:rFonts w:hint="eastAsia" w:ascii="宋体" w:hAnsi="宋体"/>
          <w:spacing w:val="-6"/>
          <w:sz w:val="21"/>
          <w:szCs w:val="21"/>
        </w:rPr>
        <w:t>封面</w:t>
      </w:r>
    </w:p>
    <w:p>
      <w:pPr>
        <w:adjustRightInd w:val="0"/>
        <w:snapToGrid w:val="0"/>
        <w:spacing w:line="288" w:lineRule="auto"/>
        <w:jc w:val="right"/>
        <w:rPr>
          <w:rFonts w:ascii="宋体" w:hAnsi="宋体"/>
          <w:spacing w:val="-6"/>
          <w:sz w:val="21"/>
          <w:szCs w:val="21"/>
        </w:rPr>
      </w:pPr>
      <w:r>
        <w:rPr>
          <w:rFonts w:hint="eastAsia" w:ascii="宋体" w:hAnsi="宋体"/>
          <w:b/>
          <w:bCs/>
          <w:spacing w:val="-6"/>
          <w:sz w:val="21"/>
          <w:szCs w:val="21"/>
        </w:rPr>
        <w:t>正本或副本</w:t>
      </w:r>
    </w:p>
    <w:p>
      <w:pPr>
        <w:adjustRightInd w:val="0"/>
        <w:snapToGrid w:val="0"/>
        <w:spacing w:line="288" w:lineRule="auto"/>
        <w:rPr>
          <w:rFonts w:ascii="宋体" w:hAnsi="宋体"/>
          <w:spacing w:val="-6"/>
          <w:sz w:val="21"/>
          <w:szCs w:val="21"/>
        </w:rPr>
      </w:pPr>
    </w:p>
    <w:p>
      <w:pPr>
        <w:adjustRightInd w:val="0"/>
        <w:snapToGrid w:val="0"/>
        <w:spacing w:line="288" w:lineRule="auto"/>
        <w:jc w:val="center"/>
        <w:rPr>
          <w:rFonts w:ascii="宋体" w:hAnsi="宋体"/>
          <w:bCs/>
          <w:spacing w:val="-6"/>
          <w:sz w:val="21"/>
          <w:szCs w:val="21"/>
        </w:rPr>
      </w:pPr>
      <w:r>
        <w:rPr>
          <w:rFonts w:hint="eastAsia" w:ascii="宋体" w:hAnsi="宋体"/>
          <w:bCs/>
          <w:spacing w:val="-6"/>
          <w:sz w:val="21"/>
          <w:szCs w:val="21"/>
        </w:rPr>
        <w:t>____________________（投标人名称）</w:t>
      </w:r>
    </w:p>
    <w:p>
      <w:pPr>
        <w:adjustRightInd w:val="0"/>
        <w:snapToGrid w:val="0"/>
        <w:spacing w:line="288" w:lineRule="auto"/>
        <w:rPr>
          <w:rFonts w:ascii="宋体" w:hAnsi="宋体"/>
          <w:bCs/>
          <w:spacing w:val="-6"/>
          <w:sz w:val="21"/>
          <w:szCs w:val="21"/>
        </w:rPr>
      </w:pPr>
    </w:p>
    <w:p>
      <w:pPr>
        <w:adjustRightInd w:val="0"/>
        <w:snapToGrid w:val="0"/>
        <w:spacing w:line="288" w:lineRule="auto"/>
        <w:rPr>
          <w:rFonts w:ascii="宋体" w:hAnsi="宋体"/>
          <w:bCs/>
          <w:spacing w:val="-6"/>
          <w:sz w:val="21"/>
          <w:szCs w:val="21"/>
        </w:rPr>
      </w:pPr>
    </w:p>
    <w:p>
      <w:pPr>
        <w:adjustRightInd w:val="0"/>
        <w:snapToGrid w:val="0"/>
        <w:spacing w:line="288" w:lineRule="auto"/>
        <w:jc w:val="center"/>
        <w:rPr>
          <w:rFonts w:ascii="宋体" w:hAnsi="宋体"/>
          <w:b/>
          <w:spacing w:val="-6"/>
          <w:sz w:val="21"/>
          <w:szCs w:val="21"/>
        </w:rPr>
      </w:pPr>
      <w:r>
        <w:rPr>
          <w:rFonts w:hint="eastAsia" w:ascii="宋体" w:hAnsi="宋体"/>
          <w:b/>
          <w:spacing w:val="-6"/>
          <w:sz w:val="21"/>
          <w:szCs w:val="21"/>
        </w:rPr>
        <w:t>投标文件</w:t>
      </w:r>
    </w:p>
    <w:p>
      <w:pPr>
        <w:adjustRightInd w:val="0"/>
        <w:snapToGrid w:val="0"/>
        <w:spacing w:line="288" w:lineRule="auto"/>
        <w:jc w:val="center"/>
        <w:rPr>
          <w:rFonts w:ascii="宋体" w:hAnsi="宋体"/>
          <w:b/>
          <w:bCs/>
          <w:spacing w:val="-6"/>
          <w:sz w:val="21"/>
          <w:szCs w:val="21"/>
        </w:rPr>
      </w:pPr>
      <w:r>
        <w:rPr>
          <w:rFonts w:hint="eastAsia" w:ascii="宋体" w:hAnsi="宋体"/>
          <w:b/>
          <w:bCs/>
          <w:spacing w:val="-6"/>
          <w:sz w:val="21"/>
          <w:szCs w:val="21"/>
        </w:rPr>
        <w:t>资格文件、商务和技术文件</w:t>
      </w:r>
    </w:p>
    <w:p>
      <w:pPr>
        <w:adjustRightInd w:val="0"/>
        <w:snapToGrid w:val="0"/>
        <w:spacing w:line="288" w:lineRule="auto"/>
        <w:rPr>
          <w:rFonts w:ascii="宋体" w:hAnsi="宋体"/>
          <w:bCs/>
          <w:spacing w:val="-6"/>
          <w:sz w:val="21"/>
          <w:szCs w:val="21"/>
        </w:rPr>
      </w:pPr>
    </w:p>
    <w:p>
      <w:pPr>
        <w:adjustRightInd w:val="0"/>
        <w:snapToGrid w:val="0"/>
        <w:spacing w:line="288" w:lineRule="auto"/>
        <w:rPr>
          <w:rFonts w:ascii="宋体" w:hAnsi="宋体"/>
          <w:bCs/>
          <w:spacing w:val="-6"/>
          <w:sz w:val="21"/>
          <w:szCs w:val="21"/>
        </w:rPr>
      </w:pP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采购人：中国林业科学研究院亚热带林业研究所</w:t>
      </w: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项目名称：安全保洁物业服务</w:t>
      </w:r>
    </w:p>
    <w:p>
      <w:pPr>
        <w:adjustRightInd w:val="0"/>
        <w:snapToGrid w:val="0"/>
        <w:spacing w:line="288" w:lineRule="auto"/>
        <w:rPr>
          <w:rFonts w:hint="eastAsia" w:ascii="宋体" w:hAnsi="宋体" w:eastAsia="宋体"/>
          <w:bCs/>
          <w:spacing w:val="-6"/>
          <w:sz w:val="21"/>
          <w:szCs w:val="21"/>
          <w:lang w:eastAsia="zh-CN"/>
        </w:rPr>
      </w:pPr>
      <w:r>
        <w:rPr>
          <w:rFonts w:hint="eastAsia" w:ascii="宋体" w:hAnsi="宋体"/>
          <w:bCs/>
          <w:spacing w:val="-6"/>
          <w:sz w:val="21"/>
          <w:szCs w:val="21"/>
        </w:rPr>
        <w:t>项目编号：</w:t>
      </w:r>
      <w:r>
        <w:rPr>
          <w:rFonts w:hint="eastAsia" w:ascii="宋体" w:hAnsi="宋体"/>
          <w:bCs/>
          <w:spacing w:val="-6"/>
          <w:sz w:val="21"/>
          <w:szCs w:val="21"/>
          <w:lang w:eastAsia="zh-CN"/>
        </w:rPr>
        <w:t>QSZB-Z(F)-B24035(GK)</w:t>
      </w: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标项：</w:t>
      </w: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投标人名称（盖章）：</w:t>
      </w: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投标人地址：</w:t>
      </w:r>
    </w:p>
    <w:p>
      <w:pPr>
        <w:adjustRightInd w:val="0"/>
        <w:snapToGrid w:val="0"/>
        <w:spacing w:line="288" w:lineRule="auto"/>
        <w:rPr>
          <w:rFonts w:ascii="宋体" w:hAnsi="宋体"/>
          <w:bCs/>
          <w:spacing w:val="-6"/>
          <w:sz w:val="21"/>
          <w:szCs w:val="21"/>
        </w:rPr>
      </w:pP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投标人代表签名：</w:t>
      </w: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日期：    年  月  日</w:t>
      </w:r>
    </w:p>
    <w:p>
      <w:pPr>
        <w:tabs>
          <w:tab w:val="center" w:pos="4706"/>
        </w:tabs>
        <w:adjustRightInd w:val="0"/>
        <w:snapToGrid w:val="0"/>
        <w:spacing w:line="288" w:lineRule="auto"/>
        <w:jc w:val="center"/>
        <w:rPr>
          <w:rFonts w:ascii="宋体" w:hAnsi="宋体"/>
          <w:bCs/>
          <w:spacing w:val="-6"/>
          <w:sz w:val="21"/>
          <w:szCs w:val="21"/>
        </w:rPr>
      </w:pPr>
      <w:r>
        <w:rPr>
          <w:rFonts w:ascii="宋体" w:hAnsi="宋体"/>
          <w:bCs/>
          <w:spacing w:val="-6"/>
          <w:sz w:val="21"/>
          <w:szCs w:val="21"/>
        </w:rPr>
        <w:br w:type="page"/>
      </w:r>
      <w:r>
        <w:rPr>
          <w:rFonts w:hint="eastAsia" w:ascii="宋体" w:hAnsi="宋体"/>
          <w:bCs/>
          <w:spacing w:val="-6"/>
          <w:sz w:val="21"/>
          <w:szCs w:val="21"/>
        </w:rPr>
        <w:t>评分索引表</w:t>
      </w:r>
    </w:p>
    <w:tbl>
      <w:tblPr>
        <w:tblStyle w:val="24"/>
        <w:tblW w:w="9847"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1"/>
        <w:gridCol w:w="2091"/>
        <w:gridCol w:w="709"/>
        <w:gridCol w:w="3465"/>
        <w:gridCol w:w="967"/>
        <w:gridCol w:w="1053"/>
        <w:gridCol w:w="8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81" w:type="dxa"/>
            <w:vAlign w:val="center"/>
          </w:tcPr>
          <w:p>
            <w:pPr>
              <w:adjustRightInd w:val="0"/>
              <w:snapToGrid w:val="0"/>
              <w:spacing w:line="288" w:lineRule="auto"/>
              <w:jc w:val="center"/>
              <w:rPr>
                <w:rFonts w:ascii="宋体" w:hAnsi="宋体"/>
                <w:b/>
                <w:spacing w:val="-6"/>
                <w:sz w:val="21"/>
                <w:szCs w:val="21"/>
              </w:rPr>
            </w:pPr>
            <w:r>
              <w:rPr>
                <w:rFonts w:hint="eastAsia" w:ascii="宋体" w:hAnsi="宋体"/>
                <w:b/>
                <w:spacing w:val="-6"/>
                <w:sz w:val="21"/>
                <w:szCs w:val="21"/>
              </w:rPr>
              <w:t>序号</w:t>
            </w:r>
          </w:p>
        </w:tc>
        <w:tc>
          <w:tcPr>
            <w:tcW w:w="2091" w:type="dxa"/>
            <w:vAlign w:val="center"/>
          </w:tcPr>
          <w:p>
            <w:pPr>
              <w:adjustRightInd w:val="0"/>
              <w:snapToGrid w:val="0"/>
              <w:spacing w:line="288" w:lineRule="auto"/>
              <w:jc w:val="center"/>
              <w:rPr>
                <w:rFonts w:ascii="宋体" w:hAnsi="宋体"/>
                <w:b/>
                <w:spacing w:val="-6"/>
                <w:sz w:val="21"/>
                <w:szCs w:val="21"/>
              </w:rPr>
            </w:pPr>
            <w:r>
              <w:rPr>
                <w:rFonts w:hint="eastAsia" w:ascii="宋体" w:hAnsi="宋体"/>
                <w:b/>
                <w:spacing w:val="-6"/>
                <w:sz w:val="21"/>
                <w:szCs w:val="21"/>
              </w:rPr>
              <w:t>评审因素</w:t>
            </w:r>
          </w:p>
        </w:tc>
        <w:tc>
          <w:tcPr>
            <w:tcW w:w="709" w:type="dxa"/>
            <w:vAlign w:val="center"/>
          </w:tcPr>
          <w:p>
            <w:pPr>
              <w:adjustRightInd w:val="0"/>
              <w:snapToGrid w:val="0"/>
              <w:spacing w:line="288" w:lineRule="auto"/>
              <w:jc w:val="center"/>
              <w:rPr>
                <w:rFonts w:ascii="宋体" w:hAnsi="宋体"/>
                <w:b/>
                <w:spacing w:val="-6"/>
                <w:sz w:val="21"/>
                <w:szCs w:val="21"/>
              </w:rPr>
            </w:pPr>
            <w:r>
              <w:rPr>
                <w:rFonts w:hint="eastAsia" w:ascii="宋体" w:hAnsi="宋体"/>
                <w:b/>
                <w:spacing w:val="-6"/>
                <w:sz w:val="21"/>
                <w:szCs w:val="21"/>
              </w:rPr>
              <w:t>分值</w:t>
            </w:r>
          </w:p>
        </w:tc>
        <w:tc>
          <w:tcPr>
            <w:tcW w:w="3465" w:type="dxa"/>
            <w:vAlign w:val="center"/>
          </w:tcPr>
          <w:p>
            <w:pPr>
              <w:pStyle w:val="56"/>
              <w:adjustRightInd w:val="0"/>
              <w:snapToGrid w:val="0"/>
              <w:spacing w:line="288" w:lineRule="auto"/>
              <w:ind w:firstLine="398"/>
              <w:rPr>
                <w:rFonts w:hint="default" w:ascii="宋体" w:hAnsi="宋体" w:eastAsia="宋体"/>
                <w:b/>
                <w:spacing w:val="-6"/>
                <w:sz w:val="21"/>
                <w:szCs w:val="21"/>
              </w:rPr>
            </w:pPr>
            <w:r>
              <w:rPr>
                <w:rFonts w:ascii="宋体" w:hAnsi="宋体" w:eastAsia="宋体"/>
                <w:b/>
                <w:spacing w:val="-6"/>
                <w:sz w:val="21"/>
                <w:szCs w:val="21"/>
              </w:rPr>
              <w:t>评分标准</w:t>
            </w:r>
          </w:p>
        </w:tc>
        <w:tc>
          <w:tcPr>
            <w:tcW w:w="967" w:type="dxa"/>
            <w:vAlign w:val="center"/>
          </w:tcPr>
          <w:p>
            <w:pPr>
              <w:pStyle w:val="56"/>
              <w:adjustRightInd w:val="0"/>
              <w:snapToGrid w:val="0"/>
              <w:spacing w:line="288" w:lineRule="auto"/>
              <w:rPr>
                <w:rFonts w:hint="default" w:ascii="宋体" w:hAnsi="宋体" w:eastAsia="宋体"/>
                <w:b/>
                <w:spacing w:val="-6"/>
                <w:sz w:val="21"/>
                <w:szCs w:val="21"/>
              </w:rPr>
            </w:pPr>
            <w:r>
              <w:rPr>
                <w:rFonts w:ascii="宋体" w:hAnsi="宋体" w:eastAsia="宋体"/>
                <w:b/>
                <w:spacing w:val="-6"/>
                <w:sz w:val="21"/>
                <w:szCs w:val="21"/>
              </w:rPr>
              <w:t>自评分</w:t>
            </w:r>
          </w:p>
        </w:tc>
        <w:tc>
          <w:tcPr>
            <w:tcW w:w="1053" w:type="dxa"/>
            <w:vAlign w:val="center"/>
          </w:tcPr>
          <w:p>
            <w:pPr>
              <w:pStyle w:val="56"/>
              <w:adjustRightInd w:val="0"/>
              <w:snapToGrid w:val="0"/>
              <w:spacing w:line="288" w:lineRule="auto"/>
              <w:rPr>
                <w:rFonts w:hint="default" w:ascii="宋体" w:hAnsi="宋体" w:eastAsia="宋体"/>
                <w:b/>
                <w:spacing w:val="-6"/>
                <w:sz w:val="21"/>
                <w:szCs w:val="21"/>
              </w:rPr>
            </w:pPr>
            <w:r>
              <w:rPr>
                <w:rFonts w:ascii="宋体" w:hAnsi="宋体" w:eastAsia="宋体"/>
                <w:b/>
                <w:spacing w:val="-6"/>
                <w:sz w:val="21"/>
                <w:szCs w:val="21"/>
              </w:rPr>
              <w:t>自评依据</w:t>
            </w:r>
          </w:p>
        </w:tc>
        <w:tc>
          <w:tcPr>
            <w:tcW w:w="881" w:type="dxa"/>
            <w:vAlign w:val="center"/>
          </w:tcPr>
          <w:p>
            <w:pPr>
              <w:pStyle w:val="56"/>
              <w:adjustRightInd w:val="0"/>
              <w:snapToGrid w:val="0"/>
              <w:spacing w:line="288" w:lineRule="auto"/>
              <w:rPr>
                <w:rFonts w:hint="default" w:ascii="宋体" w:hAnsi="宋体" w:eastAsia="宋体"/>
                <w:b/>
                <w:spacing w:val="-6"/>
                <w:sz w:val="21"/>
                <w:szCs w:val="21"/>
              </w:rPr>
            </w:pPr>
            <w:r>
              <w:rPr>
                <w:rFonts w:ascii="宋体" w:hAnsi="宋体" w:eastAsia="宋体"/>
                <w:b/>
                <w:spacing w:val="-6"/>
                <w:sz w:val="21"/>
                <w:szCs w:val="21"/>
              </w:rPr>
              <w:t>页码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847" w:type="dxa"/>
            <w:gridSpan w:val="7"/>
            <w:vAlign w:val="center"/>
          </w:tcPr>
          <w:p>
            <w:pPr>
              <w:pStyle w:val="56"/>
              <w:adjustRightInd w:val="0"/>
              <w:snapToGrid w:val="0"/>
              <w:spacing w:line="288" w:lineRule="auto"/>
              <w:rPr>
                <w:rFonts w:hint="default" w:ascii="宋体" w:hAnsi="宋体" w:eastAsia="宋体"/>
                <w:b/>
                <w:spacing w:val="-6"/>
                <w:sz w:val="21"/>
                <w:szCs w:val="21"/>
              </w:rPr>
            </w:pPr>
            <w:r>
              <w:rPr>
                <w:rFonts w:ascii="宋体" w:hAnsi="宋体" w:eastAsia="宋体"/>
                <w:b/>
                <w:spacing w:val="-6"/>
                <w:sz w:val="21"/>
                <w:szCs w:val="21"/>
              </w:rPr>
              <w:t>商务分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81" w:type="dxa"/>
            <w:vAlign w:val="center"/>
          </w:tcPr>
          <w:p>
            <w:pPr>
              <w:adjustRightInd w:val="0"/>
              <w:snapToGrid w:val="0"/>
              <w:spacing w:line="288" w:lineRule="auto"/>
              <w:jc w:val="center"/>
              <w:rPr>
                <w:rFonts w:ascii="宋体" w:hAnsi="宋体"/>
                <w:spacing w:val="-6"/>
                <w:sz w:val="21"/>
                <w:szCs w:val="21"/>
              </w:rPr>
            </w:pPr>
          </w:p>
        </w:tc>
        <w:tc>
          <w:tcPr>
            <w:tcW w:w="2091" w:type="dxa"/>
            <w:vAlign w:val="center"/>
          </w:tcPr>
          <w:p>
            <w:pPr>
              <w:adjustRightInd w:val="0"/>
              <w:snapToGrid w:val="0"/>
              <w:spacing w:line="288" w:lineRule="auto"/>
              <w:jc w:val="center"/>
              <w:rPr>
                <w:rFonts w:ascii="宋体" w:hAnsi="宋体"/>
                <w:spacing w:val="-6"/>
                <w:sz w:val="21"/>
                <w:szCs w:val="21"/>
              </w:rPr>
            </w:pPr>
          </w:p>
        </w:tc>
        <w:tc>
          <w:tcPr>
            <w:tcW w:w="709" w:type="dxa"/>
            <w:vAlign w:val="center"/>
          </w:tcPr>
          <w:p>
            <w:pPr>
              <w:adjustRightInd w:val="0"/>
              <w:snapToGrid w:val="0"/>
              <w:spacing w:line="288" w:lineRule="auto"/>
              <w:jc w:val="center"/>
              <w:rPr>
                <w:rFonts w:ascii="宋体" w:hAnsi="宋体"/>
                <w:spacing w:val="-6"/>
                <w:sz w:val="21"/>
                <w:szCs w:val="21"/>
              </w:rPr>
            </w:pPr>
          </w:p>
        </w:tc>
        <w:tc>
          <w:tcPr>
            <w:tcW w:w="3465" w:type="dxa"/>
            <w:vAlign w:val="center"/>
          </w:tcPr>
          <w:p>
            <w:pPr>
              <w:adjustRightInd w:val="0"/>
              <w:snapToGrid w:val="0"/>
              <w:spacing w:line="288" w:lineRule="auto"/>
              <w:rPr>
                <w:rFonts w:ascii="宋体" w:hAnsi="宋体"/>
                <w:spacing w:val="-6"/>
                <w:sz w:val="21"/>
                <w:szCs w:val="21"/>
              </w:rPr>
            </w:pPr>
          </w:p>
        </w:tc>
        <w:tc>
          <w:tcPr>
            <w:tcW w:w="967" w:type="dxa"/>
            <w:vAlign w:val="center"/>
          </w:tcPr>
          <w:p>
            <w:pPr>
              <w:adjustRightInd w:val="0"/>
              <w:snapToGrid w:val="0"/>
              <w:spacing w:line="288" w:lineRule="auto"/>
              <w:jc w:val="center"/>
              <w:rPr>
                <w:rFonts w:ascii="宋体" w:hAnsi="宋体"/>
                <w:spacing w:val="-6"/>
                <w:sz w:val="21"/>
                <w:szCs w:val="21"/>
              </w:rPr>
            </w:pPr>
          </w:p>
        </w:tc>
        <w:tc>
          <w:tcPr>
            <w:tcW w:w="1053" w:type="dxa"/>
            <w:vAlign w:val="center"/>
          </w:tcPr>
          <w:p>
            <w:pPr>
              <w:adjustRightInd w:val="0"/>
              <w:snapToGrid w:val="0"/>
              <w:spacing w:line="288" w:lineRule="auto"/>
              <w:jc w:val="center"/>
              <w:rPr>
                <w:rFonts w:ascii="宋体" w:hAnsi="宋体"/>
                <w:spacing w:val="-6"/>
                <w:sz w:val="21"/>
                <w:szCs w:val="21"/>
              </w:rPr>
            </w:pPr>
          </w:p>
        </w:tc>
        <w:tc>
          <w:tcPr>
            <w:tcW w:w="881" w:type="dxa"/>
          </w:tcPr>
          <w:p>
            <w:pPr>
              <w:adjustRightInd w:val="0"/>
              <w:snapToGrid w:val="0"/>
              <w:spacing w:line="288" w:lineRule="auto"/>
              <w:jc w:val="center"/>
              <w:rPr>
                <w:rFonts w:ascii="宋体" w:hAnsi="宋体"/>
                <w:spacing w:val="-6"/>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81" w:type="dxa"/>
            <w:vAlign w:val="center"/>
          </w:tcPr>
          <w:p>
            <w:pPr>
              <w:adjustRightInd w:val="0"/>
              <w:snapToGrid w:val="0"/>
              <w:spacing w:line="288" w:lineRule="auto"/>
              <w:jc w:val="center"/>
              <w:rPr>
                <w:rFonts w:ascii="宋体" w:hAnsi="宋体"/>
                <w:spacing w:val="-6"/>
                <w:sz w:val="21"/>
                <w:szCs w:val="21"/>
              </w:rPr>
            </w:pPr>
          </w:p>
        </w:tc>
        <w:tc>
          <w:tcPr>
            <w:tcW w:w="2091" w:type="dxa"/>
            <w:vAlign w:val="center"/>
          </w:tcPr>
          <w:p>
            <w:pPr>
              <w:adjustRightInd w:val="0"/>
              <w:snapToGrid w:val="0"/>
              <w:spacing w:line="288" w:lineRule="auto"/>
              <w:jc w:val="center"/>
              <w:rPr>
                <w:rFonts w:ascii="宋体" w:hAnsi="宋体"/>
                <w:spacing w:val="-6"/>
                <w:sz w:val="21"/>
                <w:szCs w:val="21"/>
              </w:rPr>
            </w:pPr>
          </w:p>
        </w:tc>
        <w:tc>
          <w:tcPr>
            <w:tcW w:w="709" w:type="dxa"/>
            <w:vAlign w:val="center"/>
          </w:tcPr>
          <w:p>
            <w:pPr>
              <w:adjustRightInd w:val="0"/>
              <w:snapToGrid w:val="0"/>
              <w:spacing w:line="288" w:lineRule="auto"/>
              <w:jc w:val="center"/>
              <w:rPr>
                <w:rFonts w:ascii="宋体" w:hAnsi="宋体"/>
                <w:spacing w:val="-6"/>
                <w:sz w:val="21"/>
                <w:szCs w:val="21"/>
              </w:rPr>
            </w:pPr>
          </w:p>
        </w:tc>
        <w:tc>
          <w:tcPr>
            <w:tcW w:w="3465" w:type="dxa"/>
            <w:vAlign w:val="center"/>
          </w:tcPr>
          <w:p>
            <w:pPr>
              <w:adjustRightInd w:val="0"/>
              <w:snapToGrid w:val="0"/>
              <w:spacing w:line="288" w:lineRule="auto"/>
              <w:rPr>
                <w:rFonts w:ascii="宋体" w:hAnsi="宋体"/>
                <w:spacing w:val="-6"/>
                <w:sz w:val="21"/>
                <w:szCs w:val="21"/>
              </w:rPr>
            </w:pPr>
          </w:p>
        </w:tc>
        <w:tc>
          <w:tcPr>
            <w:tcW w:w="967" w:type="dxa"/>
            <w:vAlign w:val="center"/>
          </w:tcPr>
          <w:p>
            <w:pPr>
              <w:adjustRightInd w:val="0"/>
              <w:snapToGrid w:val="0"/>
              <w:spacing w:line="288" w:lineRule="auto"/>
              <w:jc w:val="center"/>
              <w:rPr>
                <w:rFonts w:ascii="宋体" w:hAnsi="宋体"/>
                <w:spacing w:val="-6"/>
                <w:sz w:val="21"/>
                <w:szCs w:val="21"/>
              </w:rPr>
            </w:pPr>
          </w:p>
        </w:tc>
        <w:tc>
          <w:tcPr>
            <w:tcW w:w="1053" w:type="dxa"/>
            <w:vAlign w:val="center"/>
          </w:tcPr>
          <w:p>
            <w:pPr>
              <w:adjustRightInd w:val="0"/>
              <w:snapToGrid w:val="0"/>
              <w:spacing w:line="288" w:lineRule="auto"/>
              <w:jc w:val="center"/>
              <w:rPr>
                <w:rFonts w:ascii="宋体" w:hAnsi="宋体"/>
                <w:spacing w:val="-6"/>
                <w:sz w:val="21"/>
                <w:szCs w:val="21"/>
              </w:rPr>
            </w:pPr>
          </w:p>
        </w:tc>
        <w:tc>
          <w:tcPr>
            <w:tcW w:w="881" w:type="dxa"/>
          </w:tcPr>
          <w:p>
            <w:pPr>
              <w:adjustRightInd w:val="0"/>
              <w:snapToGrid w:val="0"/>
              <w:spacing w:line="288" w:lineRule="auto"/>
              <w:jc w:val="center"/>
              <w:rPr>
                <w:rFonts w:ascii="宋体" w:hAnsi="宋体"/>
                <w:spacing w:val="-6"/>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81" w:type="dxa"/>
            <w:vAlign w:val="center"/>
          </w:tcPr>
          <w:p>
            <w:pPr>
              <w:adjustRightInd w:val="0"/>
              <w:snapToGrid w:val="0"/>
              <w:spacing w:line="288" w:lineRule="auto"/>
              <w:jc w:val="center"/>
              <w:rPr>
                <w:rFonts w:ascii="宋体" w:hAnsi="宋体"/>
                <w:kern w:val="0"/>
                <w:sz w:val="21"/>
                <w:szCs w:val="21"/>
              </w:rPr>
            </w:pPr>
          </w:p>
        </w:tc>
        <w:tc>
          <w:tcPr>
            <w:tcW w:w="2091" w:type="dxa"/>
            <w:vAlign w:val="center"/>
          </w:tcPr>
          <w:p>
            <w:pPr>
              <w:adjustRightInd w:val="0"/>
              <w:snapToGrid w:val="0"/>
              <w:spacing w:line="288" w:lineRule="auto"/>
              <w:jc w:val="center"/>
              <w:rPr>
                <w:rFonts w:ascii="宋体" w:hAnsi="宋体"/>
                <w:kern w:val="0"/>
                <w:sz w:val="21"/>
                <w:szCs w:val="21"/>
              </w:rPr>
            </w:pPr>
          </w:p>
        </w:tc>
        <w:tc>
          <w:tcPr>
            <w:tcW w:w="709" w:type="dxa"/>
            <w:vAlign w:val="center"/>
          </w:tcPr>
          <w:p>
            <w:pPr>
              <w:adjustRightInd w:val="0"/>
              <w:snapToGrid w:val="0"/>
              <w:spacing w:line="288" w:lineRule="auto"/>
              <w:jc w:val="center"/>
              <w:rPr>
                <w:rFonts w:ascii="宋体" w:hAnsi="宋体"/>
                <w:kern w:val="0"/>
                <w:sz w:val="21"/>
                <w:szCs w:val="21"/>
              </w:rPr>
            </w:pPr>
          </w:p>
        </w:tc>
        <w:tc>
          <w:tcPr>
            <w:tcW w:w="3465" w:type="dxa"/>
            <w:vAlign w:val="center"/>
          </w:tcPr>
          <w:p>
            <w:pPr>
              <w:adjustRightInd w:val="0"/>
              <w:snapToGrid w:val="0"/>
              <w:spacing w:line="288" w:lineRule="auto"/>
              <w:rPr>
                <w:rFonts w:ascii="宋体" w:hAnsi="宋体"/>
                <w:kern w:val="0"/>
                <w:sz w:val="21"/>
                <w:szCs w:val="21"/>
              </w:rPr>
            </w:pPr>
          </w:p>
        </w:tc>
        <w:tc>
          <w:tcPr>
            <w:tcW w:w="967" w:type="dxa"/>
            <w:vAlign w:val="center"/>
          </w:tcPr>
          <w:p>
            <w:pPr>
              <w:adjustRightInd w:val="0"/>
              <w:snapToGrid w:val="0"/>
              <w:spacing w:line="288" w:lineRule="auto"/>
              <w:jc w:val="center"/>
              <w:rPr>
                <w:rFonts w:ascii="宋体" w:hAnsi="宋体"/>
                <w:sz w:val="21"/>
                <w:szCs w:val="21"/>
              </w:rPr>
            </w:pPr>
          </w:p>
        </w:tc>
        <w:tc>
          <w:tcPr>
            <w:tcW w:w="1053" w:type="dxa"/>
            <w:vAlign w:val="center"/>
          </w:tcPr>
          <w:p>
            <w:pPr>
              <w:adjustRightInd w:val="0"/>
              <w:snapToGrid w:val="0"/>
              <w:spacing w:line="288" w:lineRule="auto"/>
              <w:jc w:val="center"/>
              <w:rPr>
                <w:rFonts w:ascii="宋体" w:hAnsi="宋体"/>
                <w:sz w:val="21"/>
                <w:szCs w:val="21"/>
              </w:rPr>
            </w:pPr>
          </w:p>
        </w:tc>
        <w:tc>
          <w:tcPr>
            <w:tcW w:w="881" w:type="dxa"/>
          </w:tcPr>
          <w:p>
            <w:pPr>
              <w:adjustRightInd w:val="0"/>
              <w:snapToGrid w:val="0"/>
              <w:spacing w:line="288" w:lineRule="auto"/>
              <w:jc w:val="center"/>
              <w:rPr>
                <w:rFonts w:ascii="宋体" w:hAnsi="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81" w:type="dxa"/>
            <w:vAlign w:val="center"/>
          </w:tcPr>
          <w:p>
            <w:pPr>
              <w:adjustRightInd w:val="0"/>
              <w:snapToGrid w:val="0"/>
              <w:spacing w:line="288" w:lineRule="auto"/>
              <w:jc w:val="center"/>
              <w:rPr>
                <w:rFonts w:ascii="宋体" w:hAnsi="宋体"/>
                <w:spacing w:val="-6"/>
                <w:sz w:val="21"/>
                <w:szCs w:val="21"/>
              </w:rPr>
            </w:pPr>
          </w:p>
        </w:tc>
        <w:tc>
          <w:tcPr>
            <w:tcW w:w="2091" w:type="dxa"/>
            <w:vAlign w:val="center"/>
          </w:tcPr>
          <w:p>
            <w:pPr>
              <w:adjustRightInd w:val="0"/>
              <w:snapToGrid w:val="0"/>
              <w:spacing w:line="288" w:lineRule="auto"/>
              <w:jc w:val="center"/>
              <w:rPr>
                <w:rFonts w:ascii="宋体" w:hAnsi="宋体"/>
                <w:spacing w:val="-6"/>
                <w:sz w:val="21"/>
                <w:szCs w:val="21"/>
              </w:rPr>
            </w:pPr>
          </w:p>
        </w:tc>
        <w:tc>
          <w:tcPr>
            <w:tcW w:w="709" w:type="dxa"/>
            <w:vAlign w:val="center"/>
          </w:tcPr>
          <w:p>
            <w:pPr>
              <w:adjustRightInd w:val="0"/>
              <w:snapToGrid w:val="0"/>
              <w:spacing w:line="288" w:lineRule="auto"/>
              <w:jc w:val="center"/>
              <w:rPr>
                <w:rFonts w:ascii="宋体" w:hAnsi="宋体"/>
                <w:spacing w:val="-6"/>
                <w:sz w:val="21"/>
                <w:szCs w:val="21"/>
              </w:rPr>
            </w:pPr>
          </w:p>
        </w:tc>
        <w:tc>
          <w:tcPr>
            <w:tcW w:w="3465" w:type="dxa"/>
            <w:vAlign w:val="center"/>
          </w:tcPr>
          <w:p>
            <w:pPr>
              <w:adjustRightInd w:val="0"/>
              <w:snapToGrid w:val="0"/>
              <w:spacing w:line="288" w:lineRule="auto"/>
              <w:rPr>
                <w:rFonts w:ascii="宋体" w:hAnsi="宋体"/>
                <w:spacing w:val="-6"/>
                <w:sz w:val="21"/>
                <w:szCs w:val="21"/>
              </w:rPr>
            </w:pPr>
          </w:p>
        </w:tc>
        <w:tc>
          <w:tcPr>
            <w:tcW w:w="967" w:type="dxa"/>
            <w:vAlign w:val="center"/>
          </w:tcPr>
          <w:p>
            <w:pPr>
              <w:adjustRightInd w:val="0"/>
              <w:snapToGrid w:val="0"/>
              <w:spacing w:line="288" w:lineRule="auto"/>
              <w:jc w:val="center"/>
              <w:rPr>
                <w:rFonts w:ascii="宋体" w:hAnsi="宋体"/>
                <w:spacing w:val="-6"/>
                <w:sz w:val="21"/>
                <w:szCs w:val="21"/>
              </w:rPr>
            </w:pPr>
          </w:p>
        </w:tc>
        <w:tc>
          <w:tcPr>
            <w:tcW w:w="1053" w:type="dxa"/>
            <w:vAlign w:val="center"/>
          </w:tcPr>
          <w:p>
            <w:pPr>
              <w:adjustRightInd w:val="0"/>
              <w:snapToGrid w:val="0"/>
              <w:spacing w:line="288" w:lineRule="auto"/>
              <w:jc w:val="center"/>
              <w:rPr>
                <w:rFonts w:ascii="宋体" w:hAnsi="宋体"/>
                <w:spacing w:val="-6"/>
                <w:sz w:val="21"/>
                <w:szCs w:val="21"/>
              </w:rPr>
            </w:pPr>
          </w:p>
        </w:tc>
        <w:tc>
          <w:tcPr>
            <w:tcW w:w="881" w:type="dxa"/>
          </w:tcPr>
          <w:p>
            <w:pPr>
              <w:adjustRightInd w:val="0"/>
              <w:snapToGrid w:val="0"/>
              <w:spacing w:line="288" w:lineRule="auto"/>
              <w:jc w:val="center"/>
              <w:rPr>
                <w:rFonts w:ascii="宋体" w:hAnsi="宋体"/>
                <w:spacing w:val="-6"/>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81" w:type="dxa"/>
            <w:vAlign w:val="center"/>
          </w:tcPr>
          <w:p>
            <w:pPr>
              <w:adjustRightInd w:val="0"/>
              <w:snapToGrid w:val="0"/>
              <w:spacing w:line="288" w:lineRule="auto"/>
              <w:jc w:val="center"/>
              <w:rPr>
                <w:rFonts w:ascii="宋体" w:hAnsi="宋体"/>
                <w:spacing w:val="-6"/>
                <w:sz w:val="21"/>
                <w:szCs w:val="21"/>
              </w:rPr>
            </w:pPr>
          </w:p>
        </w:tc>
        <w:tc>
          <w:tcPr>
            <w:tcW w:w="2091" w:type="dxa"/>
            <w:vAlign w:val="center"/>
          </w:tcPr>
          <w:p>
            <w:pPr>
              <w:adjustRightInd w:val="0"/>
              <w:snapToGrid w:val="0"/>
              <w:spacing w:line="288" w:lineRule="auto"/>
              <w:jc w:val="center"/>
              <w:rPr>
                <w:rFonts w:ascii="宋体" w:hAnsi="宋体"/>
                <w:spacing w:val="-6"/>
                <w:sz w:val="21"/>
                <w:szCs w:val="21"/>
              </w:rPr>
            </w:pPr>
          </w:p>
        </w:tc>
        <w:tc>
          <w:tcPr>
            <w:tcW w:w="709" w:type="dxa"/>
            <w:vAlign w:val="center"/>
          </w:tcPr>
          <w:p>
            <w:pPr>
              <w:adjustRightInd w:val="0"/>
              <w:snapToGrid w:val="0"/>
              <w:spacing w:line="288" w:lineRule="auto"/>
              <w:jc w:val="center"/>
              <w:rPr>
                <w:rFonts w:ascii="宋体" w:hAnsi="宋体"/>
                <w:spacing w:val="-6"/>
                <w:sz w:val="21"/>
                <w:szCs w:val="21"/>
              </w:rPr>
            </w:pPr>
          </w:p>
        </w:tc>
        <w:tc>
          <w:tcPr>
            <w:tcW w:w="3465" w:type="dxa"/>
            <w:vAlign w:val="center"/>
          </w:tcPr>
          <w:p>
            <w:pPr>
              <w:adjustRightInd w:val="0"/>
              <w:snapToGrid w:val="0"/>
              <w:spacing w:line="288" w:lineRule="auto"/>
              <w:rPr>
                <w:rFonts w:ascii="宋体" w:hAnsi="宋体"/>
                <w:spacing w:val="-6"/>
                <w:sz w:val="21"/>
                <w:szCs w:val="21"/>
              </w:rPr>
            </w:pPr>
          </w:p>
        </w:tc>
        <w:tc>
          <w:tcPr>
            <w:tcW w:w="967" w:type="dxa"/>
            <w:vAlign w:val="center"/>
          </w:tcPr>
          <w:p>
            <w:pPr>
              <w:adjustRightInd w:val="0"/>
              <w:snapToGrid w:val="0"/>
              <w:spacing w:line="288" w:lineRule="auto"/>
              <w:jc w:val="center"/>
              <w:rPr>
                <w:rFonts w:ascii="宋体" w:hAnsi="宋体"/>
                <w:spacing w:val="-6"/>
                <w:sz w:val="21"/>
                <w:szCs w:val="21"/>
              </w:rPr>
            </w:pPr>
          </w:p>
        </w:tc>
        <w:tc>
          <w:tcPr>
            <w:tcW w:w="1053" w:type="dxa"/>
            <w:vAlign w:val="center"/>
          </w:tcPr>
          <w:p>
            <w:pPr>
              <w:adjustRightInd w:val="0"/>
              <w:snapToGrid w:val="0"/>
              <w:spacing w:line="288" w:lineRule="auto"/>
              <w:jc w:val="center"/>
              <w:rPr>
                <w:rFonts w:ascii="宋体" w:hAnsi="宋体"/>
                <w:spacing w:val="-6"/>
                <w:sz w:val="21"/>
                <w:szCs w:val="21"/>
              </w:rPr>
            </w:pPr>
          </w:p>
        </w:tc>
        <w:tc>
          <w:tcPr>
            <w:tcW w:w="881" w:type="dxa"/>
          </w:tcPr>
          <w:p>
            <w:pPr>
              <w:adjustRightInd w:val="0"/>
              <w:snapToGrid w:val="0"/>
              <w:spacing w:line="288" w:lineRule="auto"/>
              <w:jc w:val="center"/>
              <w:rPr>
                <w:rFonts w:ascii="宋体" w:hAnsi="宋体"/>
                <w:spacing w:val="-6"/>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81" w:type="dxa"/>
            <w:vAlign w:val="center"/>
          </w:tcPr>
          <w:p>
            <w:pPr>
              <w:adjustRightInd w:val="0"/>
              <w:snapToGrid w:val="0"/>
              <w:spacing w:line="288" w:lineRule="auto"/>
              <w:jc w:val="center"/>
              <w:rPr>
                <w:rFonts w:ascii="宋体" w:hAnsi="宋体"/>
                <w:spacing w:val="-6"/>
                <w:sz w:val="21"/>
                <w:szCs w:val="21"/>
              </w:rPr>
            </w:pPr>
          </w:p>
        </w:tc>
        <w:tc>
          <w:tcPr>
            <w:tcW w:w="2091" w:type="dxa"/>
            <w:vAlign w:val="center"/>
          </w:tcPr>
          <w:p>
            <w:pPr>
              <w:adjustRightInd w:val="0"/>
              <w:snapToGrid w:val="0"/>
              <w:spacing w:line="288" w:lineRule="auto"/>
              <w:jc w:val="center"/>
              <w:rPr>
                <w:rFonts w:ascii="宋体" w:hAnsi="宋体"/>
                <w:spacing w:val="-6"/>
                <w:sz w:val="21"/>
                <w:szCs w:val="21"/>
              </w:rPr>
            </w:pPr>
          </w:p>
        </w:tc>
        <w:tc>
          <w:tcPr>
            <w:tcW w:w="709" w:type="dxa"/>
            <w:vAlign w:val="center"/>
          </w:tcPr>
          <w:p>
            <w:pPr>
              <w:adjustRightInd w:val="0"/>
              <w:snapToGrid w:val="0"/>
              <w:spacing w:line="288" w:lineRule="auto"/>
              <w:jc w:val="center"/>
              <w:rPr>
                <w:rFonts w:ascii="宋体" w:hAnsi="宋体"/>
                <w:spacing w:val="-6"/>
                <w:sz w:val="21"/>
                <w:szCs w:val="21"/>
              </w:rPr>
            </w:pPr>
          </w:p>
        </w:tc>
        <w:tc>
          <w:tcPr>
            <w:tcW w:w="3465" w:type="dxa"/>
            <w:vAlign w:val="center"/>
          </w:tcPr>
          <w:p>
            <w:pPr>
              <w:adjustRightInd w:val="0"/>
              <w:snapToGrid w:val="0"/>
              <w:spacing w:line="288" w:lineRule="auto"/>
              <w:rPr>
                <w:rFonts w:ascii="宋体" w:hAnsi="宋体"/>
                <w:spacing w:val="-6"/>
                <w:sz w:val="21"/>
                <w:szCs w:val="21"/>
              </w:rPr>
            </w:pPr>
          </w:p>
        </w:tc>
        <w:tc>
          <w:tcPr>
            <w:tcW w:w="967" w:type="dxa"/>
            <w:vAlign w:val="center"/>
          </w:tcPr>
          <w:p>
            <w:pPr>
              <w:adjustRightInd w:val="0"/>
              <w:snapToGrid w:val="0"/>
              <w:spacing w:line="288" w:lineRule="auto"/>
              <w:jc w:val="center"/>
              <w:rPr>
                <w:rFonts w:ascii="宋体" w:hAnsi="宋体"/>
                <w:spacing w:val="-6"/>
                <w:sz w:val="21"/>
                <w:szCs w:val="21"/>
              </w:rPr>
            </w:pPr>
          </w:p>
        </w:tc>
        <w:tc>
          <w:tcPr>
            <w:tcW w:w="1053" w:type="dxa"/>
            <w:vAlign w:val="center"/>
          </w:tcPr>
          <w:p>
            <w:pPr>
              <w:adjustRightInd w:val="0"/>
              <w:snapToGrid w:val="0"/>
              <w:spacing w:line="288" w:lineRule="auto"/>
              <w:jc w:val="center"/>
              <w:rPr>
                <w:rFonts w:ascii="宋体" w:hAnsi="宋体"/>
                <w:spacing w:val="-6"/>
                <w:sz w:val="21"/>
                <w:szCs w:val="21"/>
              </w:rPr>
            </w:pPr>
          </w:p>
        </w:tc>
        <w:tc>
          <w:tcPr>
            <w:tcW w:w="881" w:type="dxa"/>
          </w:tcPr>
          <w:p>
            <w:pPr>
              <w:adjustRightInd w:val="0"/>
              <w:snapToGrid w:val="0"/>
              <w:spacing w:line="288" w:lineRule="auto"/>
              <w:jc w:val="center"/>
              <w:rPr>
                <w:rFonts w:ascii="宋体" w:hAnsi="宋体"/>
                <w:spacing w:val="-6"/>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847" w:type="dxa"/>
            <w:gridSpan w:val="7"/>
            <w:vAlign w:val="center"/>
          </w:tcPr>
          <w:p>
            <w:pPr>
              <w:pStyle w:val="11"/>
              <w:adjustRightInd w:val="0"/>
              <w:snapToGrid w:val="0"/>
              <w:spacing w:line="288" w:lineRule="auto"/>
              <w:ind w:firstLine="0"/>
              <w:jc w:val="center"/>
              <w:rPr>
                <w:rFonts w:hAnsi="宋体"/>
                <w:b/>
                <w:spacing w:val="-6"/>
                <w:sz w:val="21"/>
                <w:szCs w:val="21"/>
              </w:rPr>
            </w:pPr>
            <w:r>
              <w:rPr>
                <w:rFonts w:hint="eastAsia" w:hAnsi="宋体"/>
                <w:b/>
                <w:spacing w:val="-6"/>
                <w:sz w:val="21"/>
                <w:szCs w:val="21"/>
              </w:rPr>
              <w:t>技术</w:t>
            </w:r>
            <w:r>
              <w:rPr>
                <w:rFonts w:hAnsi="宋体"/>
                <w:b/>
                <w:spacing w:val="-6"/>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81" w:type="dxa"/>
            <w:vAlign w:val="center"/>
          </w:tcPr>
          <w:p>
            <w:pPr>
              <w:adjustRightInd w:val="0"/>
              <w:snapToGrid w:val="0"/>
              <w:spacing w:line="288" w:lineRule="auto"/>
              <w:jc w:val="center"/>
              <w:rPr>
                <w:rFonts w:ascii="宋体" w:hAnsi="宋体"/>
                <w:spacing w:val="-6"/>
                <w:sz w:val="21"/>
                <w:szCs w:val="21"/>
              </w:rPr>
            </w:pPr>
          </w:p>
        </w:tc>
        <w:tc>
          <w:tcPr>
            <w:tcW w:w="2091" w:type="dxa"/>
            <w:vAlign w:val="center"/>
          </w:tcPr>
          <w:p>
            <w:pPr>
              <w:adjustRightInd w:val="0"/>
              <w:snapToGrid w:val="0"/>
              <w:spacing w:line="288" w:lineRule="auto"/>
              <w:jc w:val="center"/>
              <w:rPr>
                <w:rFonts w:ascii="宋体" w:hAnsi="宋体"/>
                <w:spacing w:val="-6"/>
                <w:sz w:val="21"/>
                <w:szCs w:val="21"/>
              </w:rPr>
            </w:pPr>
          </w:p>
        </w:tc>
        <w:tc>
          <w:tcPr>
            <w:tcW w:w="709" w:type="dxa"/>
            <w:vAlign w:val="center"/>
          </w:tcPr>
          <w:p>
            <w:pPr>
              <w:adjustRightInd w:val="0"/>
              <w:snapToGrid w:val="0"/>
              <w:spacing w:line="288" w:lineRule="auto"/>
              <w:jc w:val="center"/>
              <w:rPr>
                <w:rFonts w:ascii="宋体" w:hAnsi="宋体"/>
                <w:spacing w:val="-6"/>
                <w:sz w:val="21"/>
                <w:szCs w:val="21"/>
              </w:rPr>
            </w:pPr>
          </w:p>
        </w:tc>
        <w:tc>
          <w:tcPr>
            <w:tcW w:w="3465" w:type="dxa"/>
            <w:vAlign w:val="center"/>
          </w:tcPr>
          <w:p>
            <w:pPr>
              <w:adjustRightInd w:val="0"/>
              <w:snapToGrid w:val="0"/>
              <w:spacing w:line="288" w:lineRule="auto"/>
              <w:rPr>
                <w:rFonts w:ascii="宋体" w:hAnsi="宋体"/>
                <w:spacing w:val="-6"/>
                <w:sz w:val="21"/>
                <w:szCs w:val="21"/>
              </w:rPr>
            </w:pPr>
          </w:p>
        </w:tc>
        <w:tc>
          <w:tcPr>
            <w:tcW w:w="967" w:type="dxa"/>
            <w:vAlign w:val="center"/>
          </w:tcPr>
          <w:p>
            <w:pPr>
              <w:adjustRightInd w:val="0"/>
              <w:snapToGrid w:val="0"/>
              <w:spacing w:line="288" w:lineRule="auto"/>
              <w:jc w:val="center"/>
              <w:rPr>
                <w:rFonts w:ascii="宋体" w:hAnsi="宋体"/>
                <w:spacing w:val="-6"/>
                <w:sz w:val="21"/>
                <w:szCs w:val="21"/>
              </w:rPr>
            </w:pPr>
          </w:p>
        </w:tc>
        <w:tc>
          <w:tcPr>
            <w:tcW w:w="1053" w:type="dxa"/>
            <w:vAlign w:val="center"/>
          </w:tcPr>
          <w:p>
            <w:pPr>
              <w:adjustRightInd w:val="0"/>
              <w:snapToGrid w:val="0"/>
              <w:spacing w:line="288" w:lineRule="auto"/>
              <w:jc w:val="center"/>
              <w:rPr>
                <w:rFonts w:ascii="宋体" w:hAnsi="宋体"/>
                <w:spacing w:val="-6"/>
                <w:sz w:val="21"/>
                <w:szCs w:val="21"/>
              </w:rPr>
            </w:pPr>
          </w:p>
        </w:tc>
        <w:tc>
          <w:tcPr>
            <w:tcW w:w="881" w:type="dxa"/>
          </w:tcPr>
          <w:p>
            <w:pPr>
              <w:adjustRightInd w:val="0"/>
              <w:snapToGrid w:val="0"/>
              <w:spacing w:line="288" w:lineRule="auto"/>
              <w:jc w:val="center"/>
              <w:rPr>
                <w:rFonts w:ascii="宋体" w:hAnsi="宋体"/>
                <w:spacing w:val="-6"/>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81" w:type="dxa"/>
            <w:vAlign w:val="center"/>
          </w:tcPr>
          <w:p>
            <w:pPr>
              <w:adjustRightInd w:val="0"/>
              <w:snapToGrid w:val="0"/>
              <w:spacing w:line="288" w:lineRule="auto"/>
              <w:jc w:val="center"/>
              <w:rPr>
                <w:rFonts w:ascii="宋体" w:hAnsi="宋体"/>
                <w:spacing w:val="-6"/>
                <w:sz w:val="21"/>
                <w:szCs w:val="21"/>
              </w:rPr>
            </w:pPr>
          </w:p>
        </w:tc>
        <w:tc>
          <w:tcPr>
            <w:tcW w:w="2091" w:type="dxa"/>
            <w:vAlign w:val="center"/>
          </w:tcPr>
          <w:p>
            <w:pPr>
              <w:adjustRightInd w:val="0"/>
              <w:snapToGrid w:val="0"/>
              <w:spacing w:line="288" w:lineRule="auto"/>
              <w:jc w:val="center"/>
              <w:rPr>
                <w:rFonts w:ascii="宋体" w:hAnsi="宋体"/>
                <w:spacing w:val="-6"/>
                <w:sz w:val="21"/>
                <w:szCs w:val="21"/>
              </w:rPr>
            </w:pPr>
          </w:p>
        </w:tc>
        <w:tc>
          <w:tcPr>
            <w:tcW w:w="709" w:type="dxa"/>
            <w:vAlign w:val="center"/>
          </w:tcPr>
          <w:p>
            <w:pPr>
              <w:adjustRightInd w:val="0"/>
              <w:snapToGrid w:val="0"/>
              <w:spacing w:line="288" w:lineRule="auto"/>
              <w:jc w:val="center"/>
              <w:rPr>
                <w:rFonts w:ascii="宋体" w:hAnsi="宋体"/>
                <w:spacing w:val="-6"/>
                <w:sz w:val="21"/>
                <w:szCs w:val="21"/>
              </w:rPr>
            </w:pPr>
          </w:p>
        </w:tc>
        <w:tc>
          <w:tcPr>
            <w:tcW w:w="3465" w:type="dxa"/>
            <w:vAlign w:val="center"/>
          </w:tcPr>
          <w:p>
            <w:pPr>
              <w:adjustRightInd w:val="0"/>
              <w:snapToGrid w:val="0"/>
              <w:spacing w:line="288" w:lineRule="auto"/>
              <w:rPr>
                <w:rFonts w:ascii="宋体" w:hAnsi="宋体"/>
                <w:spacing w:val="-6"/>
                <w:sz w:val="21"/>
                <w:szCs w:val="21"/>
              </w:rPr>
            </w:pPr>
          </w:p>
        </w:tc>
        <w:tc>
          <w:tcPr>
            <w:tcW w:w="967" w:type="dxa"/>
            <w:vAlign w:val="center"/>
          </w:tcPr>
          <w:p>
            <w:pPr>
              <w:adjustRightInd w:val="0"/>
              <w:snapToGrid w:val="0"/>
              <w:spacing w:line="288" w:lineRule="auto"/>
              <w:jc w:val="center"/>
              <w:rPr>
                <w:rFonts w:ascii="宋体" w:hAnsi="宋体"/>
                <w:spacing w:val="-6"/>
                <w:sz w:val="21"/>
                <w:szCs w:val="21"/>
              </w:rPr>
            </w:pPr>
          </w:p>
        </w:tc>
        <w:tc>
          <w:tcPr>
            <w:tcW w:w="1053" w:type="dxa"/>
            <w:vAlign w:val="center"/>
          </w:tcPr>
          <w:p>
            <w:pPr>
              <w:adjustRightInd w:val="0"/>
              <w:snapToGrid w:val="0"/>
              <w:spacing w:line="288" w:lineRule="auto"/>
              <w:jc w:val="center"/>
              <w:rPr>
                <w:rFonts w:ascii="宋体" w:hAnsi="宋体"/>
                <w:spacing w:val="-6"/>
                <w:sz w:val="21"/>
                <w:szCs w:val="21"/>
              </w:rPr>
            </w:pPr>
          </w:p>
        </w:tc>
        <w:tc>
          <w:tcPr>
            <w:tcW w:w="881" w:type="dxa"/>
          </w:tcPr>
          <w:p>
            <w:pPr>
              <w:adjustRightInd w:val="0"/>
              <w:snapToGrid w:val="0"/>
              <w:spacing w:line="288" w:lineRule="auto"/>
              <w:jc w:val="center"/>
              <w:rPr>
                <w:rFonts w:ascii="宋体" w:hAnsi="宋体"/>
                <w:spacing w:val="-6"/>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81" w:type="dxa"/>
            <w:vAlign w:val="center"/>
          </w:tcPr>
          <w:p>
            <w:pPr>
              <w:adjustRightInd w:val="0"/>
              <w:snapToGrid w:val="0"/>
              <w:spacing w:line="288" w:lineRule="auto"/>
              <w:jc w:val="center"/>
              <w:rPr>
                <w:rFonts w:ascii="宋体" w:hAnsi="宋体"/>
                <w:spacing w:val="-6"/>
                <w:sz w:val="21"/>
                <w:szCs w:val="21"/>
              </w:rPr>
            </w:pPr>
          </w:p>
        </w:tc>
        <w:tc>
          <w:tcPr>
            <w:tcW w:w="2091" w:type="dxa"/>
            <w:vAlign w:val="center"/>
          </w:tcPr>
          <w:p>
            <w:pPr>
              <w:adjustRightInd w:val="0"/>
              <w:snapToGrid w:val="0"/>
              <w:spacing w:line="288" w:lineRule="auto"/>
              <w:jc w:val="center"/>
              <w:rPr>
                <w:rFonts w:ascii="宋体" w:hAnsi="宋体"/>
                <w:spacing w:val="-6"/>
                <w:sz w:val="21"/>
                <w:szCs w:val="21"/>
              </w:rPr>
            </w:pPr>
          </w:p>
        </w:tc>
        <w:tc>
          <w:tcPr>
            <w:tcW w:w="709" w:type="dxa"/>
            <w:vAlign w:val="center"/>
          </w:tcPr>
          <w:p>
            <w:pPr>
              <w:adjustRightInd w:val="0"/>
              <w:snapToGrid w:val="0"/>
              <w:spacing w:line="288" w:lineRule="auto"/>
              <w:jc w:val="center"/>
              <w:rPr>
                <w:rFonts w:ascii="宋体" w:hAnsi="宋体"/>
                <w:spacing w:val="-6"/>
                <w:sz w:val="21"/>
                <w:szCs w:val="21"/>
              </w:rPr>
            </w:pPr>
          </w:p>
        </w:tc>
        <w:tc>
          <w:tcPr>
            <w:tcW w:w="3465" w:type="dxa"/>
            <w:vAlign w:val="center"/>
          </w:tcPr>
          <w:p>
            <w:pPr>
              <w:adjustRightInd w:val="0"/>
              <w:snapToGrid w:val="0"/>
              <w:spacing w:line="288" w:lineRule="auto"/>
              <w:rPr>
                <w:rFonts w:ascii="宋体" w:hAnsi="宋体"/>
                <w:spacing w:val="-6"/>
                <w:sz w:val="21"/>
                <w:szCs w:val="21"/>
              </w:rPr>
            </w:pPr>
          </w:p>
        </w:tc>
        <w:tc>
          <w:tcPr>
            <w:tcW w:w="967" w:type="dxa"/>
            <w:vAlign w:val="center"/>
          </w:tcPr>
          <w:p>
            <w:pPr>
              <w:adjustRightInd w:val="0"/>
              <w:snapToGrid w:val="0"/>
              <w:spacing w:line="288" w:lineRule="auto"/>
              <w:jc w:val="center"/>
              <w:rPr>
                <w:rFonts w:ascii="宋体" w:hAnsi="宋体"/>
                <w:spacing w:val="-6"/>
                <w:sz w:val="21"/>
                <w:szCs w:val="21"/>
              </w:rPr>
            </w:pPr>
          </w:p>
        </w:tc>
        <w:tc>
          <w:tcPr>
            <w:tcW w:w="1053" w:type="dxa"/>
            <w:vAlign w:val="center"/>
          </w:tcPr>
          <w:p>
            <w:pPr>
              <w:adjustRightInd w:val="0"/>
              <w:snapToGrid w:val="0"/>
              <w:spacing w:line="288" w:lineRule="auto"/>
              <w:jc w:val="center"/>
              <w:rPr>
                <w:rFonts w:ascii="宋体" w:hAnsi="宋体"/>
                <w:spacing w:val="-6"/>
                <w:sz w:val="21"/>
                <w:szCs w:val="21"/>
              </w:rPr>
            </w:pPr>
          </w:p>
        </w:tc>
        <w:tc>
          <w:tcPr>
            <w:tcW w:w="881" w:type="dxa"/>
          </w:tcPr>
          <w:p>
            <w:pPr>
              <w:adjustRightInd w:val="0"/>
              <w:snapToGrid w:val="0"/>
              <w:spacing w:line="288" w:lineRule="auto"/>
              <w:jc w:val="center"/>
              <w:rPr>
                <w:rFonts w:ascii="宋体" w:hAnsi="宋体"/>
                <w:spacing w:val="-6"/>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81" w:type="dxa"/>
            <w:vAlign w:val="center"/>
          </w:tcPr>
          <w:p>
            <w:pPr>
              <w:adjustRightInd w:val="0"/>
              <w:snapToGrid w:val="0"/>
              <w:spacing w:line="288" w:lineRule="auto"/>
              <w:jc w:val="center"/>
              <w:rPr>
                <w:rFonts w:ascii="宋体" w:hAnsi="宋体"/>
                <w:spacing w:val="-6"/>
                <w:sz w:val="21"/>
                <w:szCs w:val="21"/>
              </w:rPr>
            </w:pPr>
          </w:p>
        </w:tc>
        <w:tc>
          <w:tcPr>
            <w:tcW w:w="2091" w:type="dxa"/>
            <w:vAlign w:val="center"/>
          </w:tcPr>
          <w:p>
            <w:pPr>
              <w:adjustRightInd w:val="0"/>
              <w:snapToGrid w:val="0"/>
              <w:spacing w:line="288" w:lineRule="auto"/>
              <w:jc w:val="center"/>
              <w:rPr>
                <w:rFonts w:ascii="宋体" w:hAnsi="宋体"/>
                <w:spacing w:val="-6"/>
                <w:sz w:val="21"/>
                <w:szCs w:val="21"/>
              </w:rPr>
            </w:pPr>
          </w:p>
        </w:tc>
        <w:tc>
          <w:tcPr>
            <w:tcW w:w="709" w:type="dxa"/>
            <w:vAlign w:val="center"/>
          </w:tcPr>
          <w:p>
            <w:pPr>
              <w:adjustRightInd w:val="0"/>
              <w:snapToGrid w:val="0"/>
              <w:spacing w:line="288" w:lineRule="auto"/>
              <w:jc w:val="center"/>
              <w:rPr>
                <w:rFonts w:ascii="宋体" w:hAnsi="宋体"/>
                <w:spacing w:val="-6"/>
                <w:sz w:val="21"/>
                <w:szCs w:val="21"/>
              </w:rPr>
            </w:pPr>
          </w:p>
        </w:tc>
        <w:tc>
          <w:tcPr>
            <w:tcW w:w="3465" w:type="dxa"/>
            <w:vAlign w:val="center"/>
          </w:tcPr>
          <w:p>
            <w:pPr>
              <w:adjustRightInd w:val="0"/>
              <w:snapToGrid w:val="0"/>
              <w:spacing w:line="288" w:lineRule="auto"/>
              <w:rPr>
                <w:rFonts w:ascii="宋体" w:hAnsi="宋体"/>
                <w:spacing w:val="-6"/>
                <w:sz w:val="21"/>
                <w:szCs w:val="21"/>
              </w:rPr>
            </w:pPr>
          </w:p>
        </w:tc>
        <w:tc>
          <w:tcPr>
            <w:tcW w:w="967" w:type="dxa"/>
            <w:vAlign w:val="center"/>
          </w:tcPr>
          <w:p>
            <w:pPr>
              <w:adjustRightInd w:val="0"/>
              <w:snapToGrid w:val="0"/>
              <w:spacing w:line="288" w:lineRule="auto"/>
              <w:jc w:val="center"/>
              <w:rPr>
                <w:rFonts w:ascii="宋体" w:hAnsi="宋体"/>
                <w:spacing w:val="-6"/>
                <w:sz w:val="21"/>
                <w:szCs w:val="21"/>
              </w:rPr>
            </w:pPr>
          </w:p>
        </w:tc>
        <w:tc>
          <w:tcPr>
            <w:tcW w:w="1053" w:type="dxa"/>
            <w:vAlign w:val="center"/>
          </w:tcPr>
          <w:p>
            <w:pPr>
              <w:adjustRightInd w:val="0"/>
              <w:snapToGrid w:val="0"/>
              <w:spacing w:line="288" w:lineRule="auto"/>
              <w:jc w:val="center"/>
              <w:rPr>
                <w:rFonts w:ascii="宋体" w:hAnsi="宋体"/>
                <w:spacing w:val="-6"/>
                <w:sz w:val="21"/>
                <w:szCs w:val="21"/>
              </w:rPr>
            </w:pPr>
          </w:p>
        </w:tc>
        <w:tc>
          <w:tcPr>
            <w:tcW w:w="881" w:type="dxa"/>
          </w:tcPr>
          <w:p>
            <w:pPr>
              <w:adjustRightInd w:val="0"/>
              <w:snapToGrid w:val="0"/>
              <w:spacing w:line="288" w:lineRule="auto"/>
              <w:jc w:val="center"/>
              <w:rPr>
                <w:rFonts w:ascii="宋体" w:hAnsi="宋体"/>
                <w:spacing w:val="-6"/>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81" w:type="dxa"/>
            <w:vAlign w:val="center"/>
          </w:tcPr>
          <w:p>
            <w:pPr>
              <w:adjustRightInd w:val="0"/>
              <w:snapToGrid w:val="0"/>
              <w:spacing w:line="288" w:lineRule="auto"/>
              <w:jc w:val="center"/>
              <w:rPr>
                <w:rFonts w:ascii="宋体" w:hAnsi="宋体"/>
                <w:spacing w:val="-6"/>
                <w:sz w:val="21"/>
                <w:szCs w:val="21"/>
              </w:rPr>
            </w:pPr>
          </w:p>
        </w:tc>
        <w:tc>
          <w:tcPr>
            <w:tcW w:w="2091" w:type="dxa"/>
            <w:vAlign w:val="center"/>
          </w:tcPr>
          <w:p>
            <w:pPr>
              <w:adjustRightInd w:val="0"/>
              <w:snapToGrid w:val="0"/>
              <w:spacing w:line="288" w:lineRule="auto"/>
              <w:jc w:val="center"/>
              <w:rPr>
                <w:rFonts w:ascii="宋体" w:hAnsi="宋体"/>
                <w:spacing w:val="-6"/>
                <w:sz w:val="21"/>
                <w:szCs w:val="21"/>
              </w:rPr>
            </w:pPr>
          </w:p>
        </w:tc>
        <w:tc>
          <w:tcPr>
            <w:tcW w:w="709" w:type="dxa"/>
            <w:vAlign w:val="center"/>
          </w:tcPr>
          <w:p>
            <w:pPr>
              <w:adjustRightInd w:val="0"/>
              <w:snapToGrid w:val="0"/>
              <w:spacing w:line="288" w:lineRule="auto"/>
              <w:jc w:val="center"/>
              <w:rPr>
                <w:rFonts w:ascii="宋体" w:hAnsi="宋体"/>
                <w:spacing w:val="-6"/>
                <w:sz w:val="21"/>
                <w:szCs w:val="21"/>
              </w:rPr>
            </w:pPr>
          </w:p>
        </w:tc>
        <w:tc>
          <w:tcPr>
            <w:tcW w:w="3465" w:type="dxa"/>
            <w:vAlign w:val="center"/>
          </w:tcPr>
          <w:p>
            <w:pPr>
              <w:adjustRightInd w:val="0"/>
              <w:snapToGrid w:val="0"/>
              <w:spacing w:line="288" w:lineRule="auto"/>
              <w:rPr>
                <w:rFonts w:ascii="宋体" w:hAnsi="宋体"/>
                <w:spacing w:val="-6"/>
                <w:sz w:val="21"/>
                <w:szCs w:val="21"/>
              </w:rPr>
            </w:pPr>
          </w:p>
        </w:tc>
        <w:tc>
          <w:tcPr>
            <w:tcW w:w="967" w:type="dxa"/>
            <w:vAlign w:val="center"/>
          </w:tcPr>
          <w:p>
            <w:pPr>
              <w:adjustRightInd w:val="0"/>
              <w:snapToGrid w:val="0"/>
              <w:spacing w:line="288" w:lineRule="auto"/>
              <w:jc w:val="center"/>
              <w:rPr>
                <w:rFonts w:ascii="宋体" w:hAnsi="宋体"/>
                <w:spacing w:val="-6"/>
                <w:sz w:val="21"/>
                <w:szCs w:val="21"/>
              </w:rPr>
            </w:pPr>
          </w:p>
        </w:tc>
        <w:tc>
          <w:tcPr>
            <w:tcW w:w="1053" w:type="dxa"/>
            <w:vAlign w:val="center"/>
          </w:tcPr>
          <w:p>
            <w:pPr>
              <w:adjustRightInd w:val="0"/>
              <w:snapToGrid w:val="0"/>
              <w:spacing w:line="288" w:lineRule="auto"/>
              <w:jc w:val="center"/>
              <w:rPr>
                <w:rFonts w:ascii="宋体" w:hAnsi="宋体"/>
                <w:spacing w:val="-6"/>
                <w:sz w:val="21"/>
                <w:szCs w:val="21"/>
              </w:rPr>
            </w:pPr>
          </w:p>
        </w:tc>
        <w:tc>
          <w:tcPr>
            <w:tcW w:w="881" w:type="dxa"/>
          </w:tcPr>
          <w:p>
            <w:pPr>
              <w:adjustRightInd w:val="0"/>
              <w:snapToGrid w:val="0"/>
              <w:spacing w:line="288" w:lineRule="auto"/>
              <w:jc w:val="center"/>
              <w:rPr>
                <w:rFonts w:ascii="宋体" w:hAnsi="宋体"/>
                <w:spacing w:val="-6"/>
                <w:sz w:val="21"/>
                <w:szCs w:val="21"/>
              </w:rPr>
            </w:pPr>
          </w:p>
        </w:tc>
      </w:tr>
    </w:tbl>
    <w:p>
      <w:pPr>
        <w:adjustRightInd w:val="0"/>
        <w:snapToGrid w:val="0"/>
        <w:spacing w:line="288" w:lineRule="auto"/>
        <w:rPr>
          <w:rFonts w:ascii="宋体" w:hAnsi="宋体"/>
          <w:spacing w:val="-6"/>
          <w:sz w:val="21"/>
          <w:szCs w:val="21"/>
        </w:rPr>
      </w:pPr>
    </w:p>
    <w:p>
      <w:pPr>
        <w:adjustRightInd w:val="0"/>
        <w:snapToGrid w:val="0"/>
        <w:spacing w:line="288" w:lineRule="auto"/>
        <w:rPr>
          <w:rFonts w:ascii="宋体" w:hAnsi="宋体"/>
          <w:spacing w:val="-6"/>
          <w:sz w:val="21"/>
          <w:szCs w:val="21"/>
        </w:rPr>
      </w:pPr>
      <w:r>
        <w:rPr>
          <w:rFonts w:hint="eastAsia" w:ascii="宋体" w:hAnsi="宋体"/>
          <w:spacing w:val="-6"/>
          <w:sz w:val="21"/>
          <w:szCs w:val="21"/>
        </w:rPr>
        <w:t>备注：本表仅为方便评标委员会评审使用，不作为判别投标文件是否有效的依据。</w:t>
      </w:r>
    </w:p>
    <w:p>
      <w:pPr>
        <w:pStyle w:val="11"/>
        <w:adjustRightInd w:val="0"/>
        <w:snapToGrid w:val="0"/>
        <w:spacing w:line="288" w:lineRule="auto"/>
        <w:ind w:firstLine="0"/>
        <w:jc w:val="center"/>
        <w:rPr>
          <w:rFonts w:hAnsi="宋体"/>
          <w:b/>
          <w:spacing w:val="-6"/>
          <w:sz w:val="21"/>
          <w:szCs w:val="21"/>
        </w:rPr>
      </w:pPr>
      <w:r>
        <w:rPr>
          <w:rFonts w:hAnsi="宋体"/>
          <w:b/>
          <w:spacing w:val="-6"/>
          <w:sz w:val="21"/>
          <w:szCs w:val="21"/>
        </w:rPr>
        <w:br w:type="page"/>
      </w:r>
    </w:p>
    <w:p>
      <w:pPr>
        <w:pStyle w:val="11"/>
        <w:adjustRightInd w:val="0"/>
        <w:snapToGrid w:val="0"/>
        <w:spacing w:line="288" w:lineRule="auto"/>
        <w:ind w:firstLine="0"/>
        <w:jc w:val="center"/>
        <w:outlineLvl w:val="1"/>
        <w:rPr>
          <w:rFonts w:hAnsi="宋体"/>
          <w:b/>
          <w:spacing w:val="-6"/>
          <w:sz w:val="32"/>
          <w:szCs w:val="32"/>
        </w:rPr>
      </w:pPr>
      <w:r>
        <w:rPr>
          <w:rFonts w:hint="eastAsia" w:hAnsi="宋体"/>
          <w:b/>
          <w:spacing w:val="-6"/>
          <w:sz w:val="32"/>
          <w:szCs w:val="32"/>
        </w:rPr>
        <w:t>资格文件</w:t>
      </w:r>
    </w:p>
    <w:p>
      <w:pPr>
        <w:adjustRightInd w:val="0"/>
        <w:snapToGrid w:val="0"/>
        <w:spacing w:line="288" w:lineRule="auto"/>
        <w:rPr>
          <w:rFonts w:ascii="宋体" w:hAnsi="宋体"/>
          <w:b/>
          <w:bCs/>
          <w:sz w:val="21"/>
          <w:szCs w:val="21"/>
        </w:rPr>
      </w:pPr>
    </w:p>
    <w:p>
      <w:pPr>
        <w:adjustRightInd w:val="0"/>
        <w:snapToGrid w:val="0"/>
        <w:spacing w:line="288" w:lineRule="auto"/>
        <w:jc w:val="center"/>
        <w:rPr>
          <w:rFonts w:ascii="宋体" w:hAnsi="宋体" w:cs="宋体"/>
          <w:b/>
          <w:bCs/>
          <w:sz w:val="21"/>
          <w:szCs w:val="21"/>
        </w:rPr>
      </w:pPr>
      <w:r>
        <w:rPr>
          <w:rFonts w:hint="eastAsia" w:ascii="宋体" w:hAnsi="宋体" w:cs="宋体"/>
          <w:b/>
          <w:bCs/>
          <w:sz w:val="21"/>
          <w:szCs w:val="21"/>
        </w:rPr>
        <w:t>资格审查要求的资格证明材料(均需加盖公章)</w:t>
      </w:r>
    </w:p>
    <w:p>
      <w:pPr>
        <w:adjustRightInd w:val="0"/>
        <w:snapToGrid w:val="0"/>
        <w:spacing w:line="288" w:lineRule="auto"/>
        <w:rPr>
          <w:rFonts w:ascii="宋体" w:hAnsi="宋体"/>
          <w:b/>
          <w:bCs/>
          <w:sz w:val="21"/>
          <w:szCs w:val="21"/>
        </w:rPr>
      </w:pPr>
    </w:p>
    <w:p>
      <w:pPr>
        <w:adjustRightInd w:val="0"/>
        <w:snapToGrid w:val="0"/>
        <w:spacing w:line="288" w:lineRule="auto"/>
        <w:rPr>
          <w:rFonts w:ascii="宋体" w:hAnsi="宋体"/>
          <w:b/>
          <w:bCs/>
          <w:sz w:val="21"/>
          <w:szCs w:val="21"/>
        </w:rPr>
      </w:pPr>
    </w:p>
    <w:p>
      <w:pPr>
        <w:adjustRightInd w:val="0"/>
        <w:snapToGrid w:val="0"/>
        <w:spacing w:line="288" w:lineRule="auto"/>
        <w:rPr>
          <w:rFonts w:ascii="宋体" w:hAnsi="宋体"/>
          <w:b/>
          <w:bCs/>
          <w:sz w:val="21"/>
          <w:szCs w:val="21"/>
        </w:rPr>
      </w:pPr>
    </w:p>
    <w:p>
      <w:pPr>
        <w:adjustRightInd w:val="0"/>
        <w:snapToGrid w:val="0"/>
        <w:spacing w:line="288" w:lineRule="auto"/>
        <w:outlineLvl w:val="2"/>
        <w:rPr>
          <w:rFonts w:ascii="宋体" w:hAnsi="宋体"/>
          <w:sz w:val="21"/>
          <w:szCs w:val="21"/>
        </w:rPr>
      </w:pPr>
      <w:r>
        <w:rPr>
          <w:rFonts w:hint="eastAsia" w:ascii="宋体" w:hAnsi="宋体"/>
          <w:sz w:val="21"/>
          <w:szCs w:val="21"/>
        </w:rPr>
        <w:t>（1）有效的法人或者其他组织的营业执照等证明文件，自然人的身份证明（复印件）</w:t>
      </w:r>
    </w:p>
    <w:p>
      <w:pPr>
        <w:adjustRightInd w:val="0"/>
        <w:snapToGrid w:val="0"/>
        <w:spacing w:line="288" w:lineRule="auto"/>
        <w:rPr>
          <w:rFonts w:ascii="宋体" w:hAnsi="宋体"/>
          <w:spacing w:val="-6"/>
          <w:sz w:val="21"/>
          <w:szCs w:val="21"/>
        </w:rPr>
      </w:pPr>
      <w:r>
        <w:rPr>
          <w:rFonts w:hint="eastAsia" w:ascii="宋体" w:hAnsi="宋体"/>
          <w:spacing w:val="-6"/>
          <w:sz w:val="21"/>
          <w:szCs w:val="21"/>
        </w:rPr>
        <w:t>说明</w:t>
      </w:r>
      <w:r>
        <w:rPr>
          <w:rFonts w:ascii="宋体" w:hAnsi="宋体"/>
          <w:spacing w:val="-6"/>
          <w:sz w:val="21"/>
          <w:szCs w:val="21"/>
        </w:rPr>
        <w:t>：</w:t>
      </w:r>
    </w:p>
    <w:p>
      <w:pPr>
        <w:pStyle w:val="20"/>
        <w:adjustRightInd w:val="0"/>
        <w:snapToGrid w:val="0"/>
        <w:spacing w:line="288" w:lineRule="auto"/>
        <w:ind w:left="396" w:hanging="396"/>
        <w:rPr>
          <w:rFonts w:ascii="宋体" w:hAnsi="宋体"/>
          <w:spacing w:val="-6"/>
          <w:sz w:val="21"/>
          <w:szCs w:val="21"/>
        </w:rPr>
      </w:pPr>
      <w:r>
        <w:rPr>
          <w:rFonts w:hint="eastAsia" w:ascii="宋体" w:hAnsi="宋体"/>
          <w:spacing w:val="-6"/>
          <w:sz w:val="21"/>
          <w:szCs w:val="21"/>
        </w:rPr>
        <w:t>1</w:t>
      </w:r>
      <w:r>
        <w:rPr>
          <w:rFonts w:ascii="宋体" w:hAnsi="宋体"/>
          <w:spacing w:val="-6"/>
          <w:sz w:val="21"/>
          <w:szCs w:val="21"/>
        </w:rPr>
        <w:t>.</w:t>
      </w:r>
      <w:r>
        <w:rPr>
          <w:rFonts w:hint="eastAsia" w:ascii="宋体" w:hAnsi="宋体"/>
          <w:spacing w:val="-6"/>
          <w:sz w:val="21"/>
          <w:szCs w:val="21"/>
        </w:rPr>
        <w:t>如投标人是企业（包括合伙企业），提供在工商部门注册的有效“企业法人营业执照”或“营业执照”；</w:t>
      </w:r>
    </w:p>
    <w:p>
      <w:pPr>
        <w:pStyle w:val="20"/>
        <w:adjustRightInd w:val="0"/>
        <w:snapToGrid w:val="0"/>
        <w:spacing w:line="288" w:lineRule="auto"/>
        <w:ind w:left="396" w:hanging="396"/>
        <w:rPr>
          <w:rFonts w:ascii="宋体" w:hAnsi="宋体"/>
          <w:spacing w:val="-6"/>
          <w:sz w:val="21"/>
          <w:szCs w:val="21"/>
        </w:rPr>
      </w:pPr>
      <w:r>
        <w:rPr>
          <w:rFonts w:hint="eastAsia" w:ascii="宋体" w:hAnsi="宋体"/>
          <w:spacing w:val="-6"/>
          <w:sz w:val="21"/>
          <w:szCs w:val="21"/>
        </w:rPr>
        <w:t>2</w:t>
      </w:r>
      <w:r>
        <w:rPr>
          <w:rFonts w:ascii="宋体" w:hAnsi="宋体"/>
          <w:spacing w:val="-6"/>
          <w:sz w:val="21"/>
          <w:szCs w:val="21"/>
        </w:rPr>
        <w:t>.</w:t>
      </w:r>
      <w:r>
        <w:rPr>
          <w:rFonts w:hint="eastAsia" w:ascii="宋体" w:hAnsi="宋体"/>
          <w:spacing w:val="-6"/>
          <w:sz w:val="21"/>
          <w:szCs w:val="21"/>
        </w:rPr>
        <w:t>如投标人是事业单位，提供有效的“事业单位法人证书”；</w:t>
      </w:r>
    </w:p>
    <w:p>
      <w:pPr>
        <w:pStyle w:val="20"/>
        <w:adjustRightInd w:val="0"/>
        <w:snapToGrid w:val="0"/>
        <w:spacing w:line="288" w:lineRule="auto"/>
        <w:ind w:left="396" w:hanging="396"/>
        <w:rPr>
          <w:rFonts w:ascii="宋体" w:hAnsi="宋体"/>
          <w:spacing w:val="-6"/>
          <w:sz w:val="21"/>
          <w:szCs w:val="21"/>
        </w:rPr>
      </w:pPr>
      <w:r>
        <w:rPr>
          <w:rFonts w:hint="eastAsia" w:ascii="宋体" w:hAnsi="宋体"/>
          <w:spacing w:val="-6"/>
          <w:sz w:val="21"/>
          <w:szCs w:val="21"/>
        </w:rPr>
        <w:t>3</w:t>
      </w:r>
      <w:r>
        <w:rPr>
          <w:rFonts w:ascii="宋体" w:hAnsi="宋体"/>
          <w:spacing w:val="-6"/>
          <w:sz w:val="21"/>
          <w:szCs w:val="21"/>
        </w:rPr>
        <w:t>.</w:t>
      </w:r>
      <w:r>
        <w:rPr>
          <w:rFonts w:hint="eastAsia" w:ascii="宋体" w:hAnsi="宋体"/>
          <w:spacing w:val="-6"/>
          <w:sz w:val="21"/>
          <w:szCs w:val="21"/>
        </w:rPr>
        <w:t>如投标人是非企业专业服务机构的，提供执业许可证等证明文件；</w:t>
      </w:r>
    </w:p>
    <w:p>
      <w:pPr>
        <w:pStyle w:val="20"/>
        <w:adjustRightInd w:val="0"/>
        <w:snapToGrid w:val="0"/>
        <w:spacing w:line="288" w:lineRule="auto"/>
        <w:ind w:left="396" w:hanging="396"/>
        <w:rPr>
          <w:rFonts w:ascii="宋体" w:hAnsi="宋体"/>
          <w:spacing w:val="-6"/>
          <w:sz w:val="21"/>
          <w:szCs w:val="21"/>
        </w:rPr>
      </w:pPr>
      <w:r>
        <w:rPr>
          <w:rFonts w:hint="eastAsia" w:ascii="宋体" w:hAnsi="宋体"/>
          <w:spacing w:val="-6"/>
          <w:sz w:val="21"/>
          <w:szCs w:val="21"/>
        </w:rPr>
        <w:t>4</w:t>
      </w:r>
      <w:r>
        <w:rPr>
          <w:rFonts w:ascii="宋体" w:hAnsi="宋体"/>
          <w:spacing w:val="-6"/>
          <w:sz w:val="21"/>
          <w:szCs w:val="21"/>
        </w:rPr>
        <w:t>.</w:t>
      </w:r>
      <w:r>
        <w:rPr>
          <w:rFonts w:hint="eastAsia" w:ascii="宋体" w:hAnsi="宋体"/>
          <w:spacing w:val="-6"/>
          <w:sz w:val="21"/>
          <w:szCs w:val="21"/>
        </w:rPr>
        <w:t>如投标人是个体工商户，提供有效的“个体工商户营业执照”；</w:t>
      </w:r>
    </w:p>
    <w:p>
      <w:pPr>
        <w:pStyle w:val="20"/>
        <w:adjustRightInd w:val="0"/>
        <w:snapToGrid w:val="0"/>
        <w:spacing w:line="288" w:lineRule="auto"/>
        <w:ind w:left="396" w:hanging="396"/>
        <w:rPr>
          <w:rFonts w:ascii="宋体" w:hAnsi="宋体"/>
          <w:spacing w:val="-6"/>
          <w:sz w:val="21"/>
          <w:szCs w:val="21"/>
        </w:rPr>
      </w:pPr>
      <w:r>
        <w:rPr>
          <w:rFonts w:hint="eastAsia" w:ascii="宋体" w:hAnsi="宋体"/>
          <w:spacing w:val="-6"/>
          <w:sz w:val="21"/>
          <w:szCs w:val="21"/>
        </w:rPr>
        <w:t>5</w:t>
      </w:r>
      <w:r>
        <w:rPr>
          <w:rFonts w:ascii="宋体" w:hAnsi="宋体"/>
          <w:spacing w:val="-6"/>
          <w:sz w:val="21"/>
          <w:szCs w:val="21"/>
        </w:rPr>
        <w:t>.</w:t>
      </w:r>
      <w:r>
        <w:rPr>
          <w:rFonts w:hint="eastAsia" w:ascii="宋体" w:hAnsi="宋体"/>
          <w:spacing w:val="-6"/>
          <w:sz w:val="21"/>
          <w:szCs w:val="21"/>
        </w:rPr>
        <w:t>如投标人是自然人，提供有效的自然人身份证明。</w:t>
      </w:r>
    </w:p>
    <w:p>
      <w:pPr>
        <w:widowControl/>
        <w:adjustRightInd w:val="0"/>
        <w:snapToGrid w:val="0"/>
        <w:spacing w:line="288" w:lineRule="auto"/>
        <w:jc w:val="left"/>
        <w:rPr>
          <w:rFonts w:ascii="宋体" w:hAnsi="宋体"/>
          <w:bCs/>
          <w:spacing w:val="-6"/>
          <w:sz w:val="21"/>
          <w:szCs w:val="21"/>
        </w:rPr>
      </w:pPr>
      <w:r>
        <w:rPr>
          <w:rFonts w:ascii="宋体" w:hAnsi="宋体"/>
          <w:bCs/>
          <w:spacing w:val="-6"/>
          <w:sz w:val="21"/>
          <w:szCs w:val="21"/>
        </w:rPr>
        <w:br w:type="page"/>
      </w:r>
    </w:p>
    <w:p>
      <w:pPr>
        <w:adjustRightInd w:val="0"/>
        <w:snapToGrid w:val="0"/>
        <w:spacing w:line="288" w:lineRule="auto"/>
        <w:ind w:firstLine="498" w:firstLineChars="236"/>
        <w:jc w:val="center"/>
        <w:outlineLvl w:val="2"/>
        <w:rPr>
          <w:rFonts w:ascii="宋体" w:hAnsi="宋体"/>
          <w:b/>
          <w:bCs/>
          <w:sz w:val="21"/>
          <w:szCs w:val="21"/>
        </w:rPr>
      </w:pPr>
      <w:r>
        <w:rPr>
          <w:rFonts w:hint="eastAsia" w:ascii="宋体" w:hAnsi="宋体"/>
          <w:b/>
          <w:bCs/>
          <w:sz w:val="21"/>
          <w:szCs w:val="21"/>
        </w:rPr>
        <w:t>（2）</w:t>
      </w:r>
      <w:r>
        <w:rPr>
          <w:rFonts w:ascii="宋体" w:hAnsi="宋体"/>
          <w:b/>
          <w:bCs/>
          <w:sz w:val="21"/>
          <w:szCs w:val="21"/>
        </w:rPr>
        <w:t>符合参加政府采购活动应当具备的一般条件的承诺函</w:t>
      </w:r>
    </w:p>
    <w:p>
      <w:pPr>
        <w:adjustRightInd w:val="0"/>
        <w:snapToGrid w:val="0"/>
        <w:spacing w:line="288" w:lineRule="auto"/>
        <w:rPr>
          <w:rFonts w:ascii="宋体" w:hAnsi="宋体"/>
          <w:color w:val="000000"/>
          <w:sz w:val="21"/>
          <w:szCs w:val="21"/>
          <w:shd w:val="clear" w:color="auto" w:fill="FFFFFF"/>
        </w:rPr>
      </w:pPr>
    </w:p>
    <w:p>
      <w:pPr>
        <w:adjustRightInd w:val="0"/>
        <w:snapToGrid w:val="0"/>
        <w:spacing w:line="288" w:lineRule="auto"/>
        <w:rPr>
          <w:rFonts w:ascii="宋体" w:hAnsi="宋体"/>
          <w:b/>
          <w:bCs/>
          <w:spacing w:val="-6"/>
          <w:sz w:val="21"/>
          <w:szCs w:val="21"/>
        </w:rPr>
      </w:pPr>
      <w:r>
        <w:rPr>
          <w:rFonts w:hint="eastAsia" w:ascii="宋体" w:hAnsi="宋体"/>
          <w:b/>
          <w:bCs/>
          <w:spacing w:val="-6"/>
          <w:sz w:val="21"/>
          <w:szCs w:val="21"/>
        </w:rPr>
        <w:t>致：中国林业科学研究院亚热带林业研究所、浙江求是招标代理有限公司</w:t>
      </w:r>
    </w:p>
    <w:p>
      <w:pPr>
        <w:adjustRightInd w:val="0"/>
        <w:snapToGrid w:val="0"/>
        <w:spacing w:line="288" w:lineRule="auto"/>
        <w:ind w:firstLine="396" w:firstLineChars="200"/>
        <w:rPr>
          <w:rFonts w:ascii="宋体" w:hAnsi="宋体"/>
          <w:spacing w:val="-6"/>
          <w:sz w:val="21"/>
          <w:szCs w:val="21"/>
        </w:rPr>
      </w:pP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我方</w:t>
      </w:r>
      <w:r>
        <w:rPr>
          <w:rFonts w:hint="eastAsia" w:ascii="宋体" w:hAnsi="宋体"/>
          <w:spacing w:val="-6"/>
          <w:sz w:val="21"/>
          <w:szCs w:val="21"/>
          <w:u w:val="single"/>
        </w:rPr>
        <w:t xml:space="preserve">（投标人名称） </w:t>
      </w:r>
      <w:r>
        <w:rPr>
          <w:rFonts w:hint="eastAsia" w:ascii="宋体" w:hAnsi="宋体"/>
          <w:spacing w:val="-6"/>
          <w:sz w:val="21"/>
          <w:szCs w:val="21"/>
        </w:rPr>
        <w:t>参加</w:t>
      </w:r>
      <w:r>
        <w:rPr>
          <w:rFonts w:hint="eastAsia" w:ascii="宋体" w:hAnsi="宋体"/>
          <w:spacing w:val="-6"/>
          <w:sz w:val="21"/>
          <w:szCs w:val="21"/>
          <w:u w:val="single"/>
        </w:rPr>
        <w:t xml:space="preserve">（项目名称） </w:t>
      </w:r>
      <w:r>
        <w:rPr>
          <w:rFonts w:hint="eastAsia" w:ascii="宋体" w:hAnsi="宋体"/>
          <w:spacing w:val="-6"/>
          <w:sz w:val="21"/>
          <w:szCs w:val="21"/>
        </w:rPr>
        <w:t>项目的采购活动并承诺如下：</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一、我方满足《中华人民共和国政府采购法》第二十二条规定：</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（一）具有独立承担民事责任的能力；</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（二）具有良好的商业信誉和健全的财务会计制度；</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（三）具有履行合同所必需的设备和专业技术能力；</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（四）有依法缴纳税收和社会保障资金的良好记录；</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（五）参加本项目政府采购活动前三年内，在经营活动中</w:t>
      </w:r>
      <w:r>
        <w:rPr>
          <w:rFonts w:hint="eastAsia" w:ascii="宋体" w:hAnsi="宋体"/>
          <w:b/>
          <w:spacing w:val="-6"/>
          <w:sz w:val="21"/>
          <w:szCs w:val="21"/>
          <w:u w:val="single"/>
        </w:rPr>
        <w:t xml:space="preserve">  没有  </w:t>
      </w:r>
      <w:r>
        <w:rPr>
          <w:rFonts w:hint="eastAsia" w:ascii="宋体" w:hAnsi="宋体"/>
          <w:spacing w:val="-6"/>
          <w:sz w:val="21"/>
          <w:szCs w:val="21"/>
        </w:rPr>
        <w:t>重大违法记录。（重大违法记录是指投标人因违法经营受到刑事处罚或者责令停产停业、吊销许可证或者执照、较大数额罚款等行政处罚）</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（六）法律、行政法规规定的其他条件。</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二、未被信用中国（</w:t>
      </w:r>
      <w:r>
        <w:rPr>
          <w:rFonts w:ascii="宋体" w:hAnsi="宋体"/>
          <w:spacing w:val="-6"/>
          <w:sz w:val="21"/>
          <w:szCs w:val="21"/>
        </w:rPr>
        <w:t>www.creditchina.gov.cn)、中国政府采购网（www.ccgp.gov.cn）列入失信被执行人、重大税收违法案件当事人名单、政府采购严重违法失信行为记录名单。</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三、不存在以下情况：</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1、</w:t>
      </w:r>
      <w:r>
        <w:rPr>
          <w:rFonts w:ascii="宋体" w:hAnsi="宋体"/>
          <w:spacing w:val="-6"/>
          <w:sz w:val="21"/>
          <w:szCs w:val="21"/>
        </w:rPr>
        <w:t>单位负责人为同一人或者存在直接控股、管理关系的不同供应商参加同一合同项下的政府采购活动的；</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2、</w:t>
      </w:r>
      <w:r>
        <w:rPr>
          <w:rFonts w:ascii="宋体" w:hAnsi="宋体"/>
          <w:spacing w:val="-6"/>
          <w:sz w:val="21"/>
          <w:szCs w:val="21"/>
        </w:rPr>
        <w:t>为采购项目提供整体设计、规范编制或者项目管理、监理、检测等服务后再参加该采购项目的其他采购活动的。</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四、</w:t>
      </w:r>
      <w:r>
        <w:rPr>
          <w:rFonts w:ascii="宋体" w:hAnsi="宋体"/>
          <w:spacing w:val="-6"/>
          <w:sz w:val="21"/>
          <w:szCs w:val="21"/>
        </w:rPr>
        <w:t>以上事项如有虚假或隐瞒，我方愿意承担一切后果和责任。</w:t>
      </w:r>
    </w:p>
    <w:p>
      <w:pPr>
        <w:adjustRightInd w:val="0"/>
        <w:snapToGrid w:val="0"/>
        <w:spacing w:line="288" w:lineRule="auto"/>
        <w:rPr>
          <w:rFonts w:ascii="宋体" w:hAnsi="宋体"/>
          <w:sz w:val="21"/>
          <w:szCs w:val="21"/>
        </w:rPr>
      </w:pPr>
    </w:p>
    <w:p>
      <w:pPr>
        <w:adjustRightInd w:val="0"/>
        <w:snapToGrid w:val="0"/>
        <w:spacing w:line="288" w:lineRule="auto"/>
        <w:rPr>
          <w:rFonts w:ascii="宋体" w:hAnsi="宋体"/>
          <w:b/>
          <w:bCs/>
          <w:spacing w:val="-6"/>
          <w:sz w:val="21"/>
          <w:szCs w:val="21"/>
        </w:rPr>
      </w:pPr>
      <w:r>
        <w:rPr>
          <w:rFonts w:hint="eastAsia" w:ascii="宋体" w:hAnsi="宋体"/>
          <w:b/>
          <w:bCs/>
          <w:spacing w:val="-6"/>
          <w:sz w:val="21"/>
          <w:szCs w:val="21"/>
        </w:rPr>
        <w:t>投标人名称（盖章）：</w:t>
      </w:r>
    </w:p>
    <w:p>
      <w:pPr>
        <w:adjustRightInd w:val="0"/>
        <w:snapToGrid w:val="0"/>
        <w:spacing w:line="288" w:lineRule="auto"/>
        <w:rPr>
          <w:rFonts w:ascii="宋体" w:hAnsi="宋体"/>
          <w:b/>
          <w:bCs/>
          <w:spacing w:val="-6"/>
          <w:sz w:val="21"/>
          <w:szCs w:val="21"/>
        </w:rPr>
      </w:pPr>
      <w:r>
        <w:rPr>
          <w:rFonts w:hint="eastAsia" w:ascii="宋体" w:hAnsi="宋体"/>
          <w:b/>
          <w:bCs/>
          <w:spacing w:val="-6"/>
          <w:sz w:val="21"/>
          <w:szCs w:val="21"/>
        </w:rPr>
        <w:t>投标人代表签名：</w:t>
      </w:r>
    </w:p>
    <w:p>
      <w:pPr>
        <w:adjustRightInd w:val="0"/>
        <w:snapToGrid w:val="0"/>
        <w:spacing w:line="288" w:lineRule="auto"/>
        <w:rPr>
          <w:rFonts w:ascii="宋体" w:hAnsi="宋体"/>
          <w:b/>
          <w:bCs/>
          <w:spacing w:val="-6"/>
          <w:sz w:val="21"/>
          <w:szCs w:val="21"/>
        </w:rPr>
      </w:pPr>
      <w:r>
        <w:rPr>
          <w:rFonts w:hint="eastAsia" w:ascii="宋体" w:hAnsi="宋体"/>
          <w:b/>
          <w:bCs/>
          <w:spacing w:val="-6"/>
          <w:sz w:val="21"/>
          <w:szCs w:val="21"/>
        </w:rPr>
        <w:t>日期：     年   月   日</w:t>
      </w:r>
    </w:p>
    <w:p>
      <w:pPr>
        <w:pStyle w:val="11"/>
        <w:adjustRightInd w:val="0"/>
        <w:snapToGrid w:val="0"/>
        <w:spacing w:line="288" w:lineRule="auto"/>
        <w:ind w:firstLine="0"/>
        <w:jc w:val="left"/>
        <w:outlineLvl w:val="1"/>
        <w:rPr>
          <w:rFonts w:hAnsi="宋体"/>
          <w:b/>
          <w:bCs/>
          <w:spacing w:val="-6"/>
          <w:sz w:val="21"/>
          <w:szCs w:val="21"/>
        </w:rPr>
      </w:pPr>
      <w:r>
        <w:rPr>
          <w:rFonts w:hAnsi="宋体"/>
          <w:bCs/>
          <w:spacing w:val="-6"/>
          <w:sz w:val="21"/>
          <w:szCs w:val="21"/>
        </w:rPr>
        <w:br w:type="page"/>
      </w:r>
    </w:p>
    <w:p>
      <w:pPr>
        <w:adjustRightInd w:val="0"/>
        <w:snapToGrid w:val="0"/>
        <w:spacing w:line="288" w:lineRule="auto"/>
        <w:ind w:firstLine="498" w:firstLineChars="236"/>
        <w:jc w:val="left"/>
        <w:outlineLvl w:val="2"/>
        <w:rPr>
          <w:rFonts w:hint="eastAsia" w:ascii="宋体" w:hAnsi="宋体"/>
          <w:b/>
          <w:bCs/>
          <w:sz w:val="21"/>
          <w:szCs w:val="21"/>
        </w:rPr>
      </w:pPr>
      <w:r>
        <w:rPr>
          <w:rFonts w:hint="eastAsia" w:ascii="宋体" w:hAnsi="宋体"/>
          <w:b/>
          <w:bCs/>
          <w:sz w:val="21"/>
          <w:szCs w:val="21"/>
        </w:rPr>
        <w:t>（</w:t>
      </w:r>
      <w:r>
        <w:rPr>
          <w:rFonts w:ascii="宋体" w:hAnsi="宋体"/>
          <w:b/>
          <w:bCs/>
          <w:sz w:val="21"/>
          <w:szCs w:val="21"/>
        </w:rPr>
        <w:t>3</w:t>
      </w:r>
      <w:r>
        <w:rPr>
          <w:rFonts w:hint="eastAsia" w:ascii="宋体" w:hAnsi="宋体"/>
          <w:b/>
          <w:bCs/>
          <w:sz w:val="21"/>
          <w:szCs w:val="21"/>
        </w:rPr>
        <w:t>）落实政府采购政策需满足的资格要求证明材料：</w:t>
      </w:r>
    </w:p>
    <w:p>
      <w:pPr>
        <w:adjustRightInd w:val="0"/>
        <w:snapToGrid w:val="0"/>
        <w:spacing w:line="288" w:lineRule="auto"/>
        <w:ind w:firstLine="498" w:firstLineChars="236"/>
        <w:jc w:val="center"/>
        <w:outlineLvl w:val="2"/>
        <w:rPr>
          <w:rFonts w:ascii="宋体" w:hAnsi="宋体"/>
          <w:b/>
          <w:bCs/>
          <w:sz w:val="21"/>
          <w:szCs w:val="21"/>
        </w:rPr>
      </w:pPr>
      <w:r>
        <w:rPr>
          <w:rFonts w:ascii="宋体" w:hAnsi="宋体"/>
          <w:b/>
          <w:bCs/>
          <w:sz w:val="21"/>
          <w:szCs w:val="21"/>
        </w:rPr>
        <w:t>中小企业声明函（服务）</w:t>
      </w:r>
      <w:r>
        <w:rPr>
          <w:rFonts w:hint="eastAsia" w:ascii="宋体" w:hAnsi="宋体"/>
          <w:b/>
          <w:bCs/>
          <w:sz w:val="21"/>
          <w:szCs w:val="21"/>
        </w:rPr>
        <w:t>（若属于中小企业）</w:t>
      </w:r>
    </w:p>
    <w:p>
      <w:pPr>
        <w:adjustRightInd w:val="0"/>
        <w:snapToGrid w:val="0"/>
        <w:spacing w:line="288" w:lineRule="auto"/>
        <w:ind w:firstLine="498" w:firstLineChars="236"/>
        <w:rPr>
          <w:rFonts w:ascii="宋体" w:hAnsi="宋体"/>
          <w:b/>
          <w:sz w:val="21"/>
          <w:szCs w:val="21"/>
        </w:rPr>
      </w:pPr>
    </w:p>
    <w:p>
      <w:pPr>
        <w:adjustRightInd w:val="0"/>
        <w:snapToGrid w:val="0"/>
        <w:spacing w:line="288" w:lineRule="auto"/>
        <w:ind w:firstLine="495" w:firstLineChars="236"/>
        <w:rPr>
          <w:rFonts w:ascii="宋体" w:hAnsi="宋体"/>
          <w:sz w:val="21"/>
          <w:szCs w:val="21"/>
        </w:rPr>
      </w:pPr>
      <w:r>
        <w:rPr>
          <w:rFonts w:ascii="宋体" w:hAnsi="宋体"/>
          <w:sz w:val="21"/>
          <w:szCs w:val="21"/>
        </w:rPr>
        <w:t>本公司（联合体）郑重声明，根据《政府采购促进中小企业发展管理办法》（财库</w:t>
      </w:r>
      <w:r>
        <w:rPr>
          <w:rFonts w:hint="eastAsia" w:ascii="宋体" w:hAnsi="宋体"/>
          <w:sz w:val="21"/>
          <w:szCs w:val="21"/>
        </w:rPr>
        <w:t>﹝</w:t>
      </w:r>
      <w:r>
        <w:rPr>
          <w:rFonts w:ascii="宋体" w:hAnsi="宋体"/>
          <w:sz w:val="21"/>
          <w:szCs w:val="21"/>
        </w:rPr>
        <w:t>2020</w:t>
      </w:r>
      <w:r>
        <w:rPr>
          <w:rFonts w:hint="eastAsia" w:ascii="宋体" w:hAnsi="宋体"/>
          <w:sz w:val="21"/>
          <w:szCs w:val="21"/>
        </w:rPr>
        <w:t>﹞</w:t>
      </w:r>
      <w:r>
        <w:rPr>
          <w:rFonts w:ascii="宋体" w:hAnsi="宋体"/>
          <w:sz w:val="21"/>
          <w:szCs w:val="21"/>
        </w:rPr>
        <w:t>46 号）的规定，本公司（联合体）参加</w:t>
      </w:r>
      <w:r>
        <w:rPr>
          <w:rFonts w:hint="eastAsia" w:ascii="宋体" w:hAnsi="宋体"/>
          <w:i/>
          <w:iCs/>
          <w:sz w:val="21"/>
          <w:szCs w:val="21"/>
          <w:u w:val="single"/>
        </w:rPr>
        <w:t>中国林业科学研究院亚热带林业研究所</w:t>
      </w:r>
      <w:r>
        <w:rPr>
          <w:rFonts w:ascii="宋体" w:hAnsi="宋体"/>
          <w:i/>
          <w:sz w:val="21"/>
          <w:szCs w:val="21"/>
          <w:u w:val="single"/>
        </w:rPr>
        <w:t>（单位名称）</w:t>
      </w:r>
      <w:r>
        <w:rPr>
          <w:rFonts w:ascii="宋体" w:hAnsi="宋体"/>
          <w:sz w:val="21"/>
          <w:szCs w:val="21"/>
        </w:rPr>
        <w:t>的</w:t>
      </w:r>
      <w:r>
        <w:rPr>
          <w:rFonts w:hint="eastAsia" w:ascii="宋体" w:hAnsi="宋体"/>
          <w:i/>
          <w:iCs/>
          <w:sz w:val="21"/>
          <w:szCs w:val="21"/>
          <w:u w:val="single"/>
        </w:rPr>
        <w:t>安全保洁物业服务</w:t>
      </w:r>
      <w:r>
        <w:rPr>
          <w:rFonts w:ascii="宋体" w:hAnsi="宋体"/>
          <w:i/>
          <w:sz w:val="21"/>
          <w:szCs w:val="21"/>
          <w:u w:val="single"/>
        </w:rPr>
        <w:t>（项目名称）</w:t>
      </w:r>
      <w:r>
        <w:rPr>
          <w:rFonts w:ascii="宋体" w:hAnsi="宋体"/>
          <w:sz w:val="21"/>
          <w:szCs w:val="21"/>
        </w:rPr>
        <w:t>采购活动，服务全部由符合政策要求的中小企业承接。相关企业（含联合体中的中小企业、签订分包意向协议的中小企业）的具体情况如下：</w:t>
      </w:r>
    </w:p>
    <w:p>
      <w:pPr>
        <w:adjustRightInd w:val="0"/>
        <w:snapToGrid w:val="0"/>
        <w:spacing w:line="288" w:lineRule="auto"/>
        <w:ind w:firstLine="495" w:firstLineChars="236"/>
        <w:rPr>
          <w:rFonts w:ascii="宋体" w:hAnsi="宋体"/>
          <w:i/>
          <w:sz w:val="21"/>
          <w:szCs w:val="21"/>
          <w:u w:val="single"/>
        </w:rPr>
      </w:pPr>
      <w:r>
        <w:rPr>
          <w:rFonts w:hint="eastAsia" w:ascii="宋体" w:hAnsi="宋体"/>
          <w:i/>
          <w:sz w:val="21"/>
          <w:szCs w:val="21"/>
          <w:u w:val="single"/>
        </w:rPr>
        <w:t>1</w:t>
      </w:r>
      <w:r>
        <w:rPr>
          <w:rFonts w:ascii="宋体" w:hAnsi="宋体"/>
          <w:i/>
          <w:sz w:val="21"/>
          <w:szCs w:val="21"/>
          <w:u w:val="single"/>
        </w:rPr>
        <w:t>.</w:t>
      </w:r>
      <w:r>
        <w:rPr>
          <w:rFonts w:hint="eastAsia" w:ascii="宋体" w:hAnsi="宋体"/>
          <w:i/>
          <w:sz w:val="21"/>
          <w:szCs w:val="21"/>
          <w:u w:val="single"/>
        </w:rPr>
        <w:t>安全保洁物业服务</w:t>
      </w:r>
      <w:r>
        <w:rPr>
          <w:rFonts w:ascii="宋体" w:hAnsi="宋体"/>
          <w:i/>
          <w:sz w:val="21"/>
          <w:szCs w:val="21"/>
          <w:u w:val="single"/>
        </w:rPr>
        <w:t>（标的名称），</w:t>
      </w:r>
      <w:r>
        <w:rPr>
          <w:rFonts w:ascii="宋体" w:hAnsi="宋体"/>
          <w:iCs/>
          <w:sz w:val="21"/>
          <w:szCs w:val="21"/>
        </w:rPr>
        <w:t>属于</w:t>
      </w:r>
      <w:r>
        <w:rPr>
          <w:rFonts w:hint="eastAsia" w:ascii="宋体" w:hAnsi="宋体"/>
          <w:i/>
          <w:sz w:val="21"/>
          <w:szCs w:val="21"/>
          <w:u w:val="single"/>
        </w:rPr>
        <w:t>物业管理</w:t>
      </w:r>
      <w:r>
        <w:rPr>
          <w:rFonts w:ascii="宋体" w:hAnsi="宋体"/>
          <w:i/>
          <w:sz w:val="21"/>
          <w:szCs w:val="21"/>
          <w:u w:val="single"/>
        </w:rPr>
        <w:t>（采购文件中明确的所属行业）；</w:t>
      </w:r>
      <w:r>
        <w:rPr>
          <w:rFonts w:ascii="宋体" w:hAnsi="宋体"/>
          <w:sz w:val="21"/>
          <w:szCs w:val="21"/>
        </w:rPr>
        <w:t>承接企业为</w:t>
      </w:r>
      <w:r>
        <w:rPr>
          <w:rFonts w:ascii="宋体" w:hAnsi="宋体"/>
          <w:i/>
          <w:sz w:val="21"/>
          <w:szCs w:val="21"/>
          <w:u w:val="single"/>
        </w:rPr>
        <w:t>（企业名称）</w:t>
      </w:r>
      <w:r>
        <w:rPr>
          <w:rFonts w:ascii="宋体" w:hAnsi="宋体"/>
          <w:sz w:val="21"/>
          <w:szCs w:val="21"/>
        </w:rPr>
        <w:t>，从业人员</w:t>
      </w:r>
      <w:r>
        <w:rPr>
          <w:rFonts w:ascii="宋体" w:hAnsi="宋体"/>
          <w:sz w:val="21"/>
          <w:szCs w:val="21"/>
          <w:u w:val="single"/>
        </w:rPr>
        <w:tab/>
      </w:r>
      <w:r>
        <w:rPr>
          <w:rFonts w:ascii="宋体" w:hAnsi="宋体"/>
          <w:sz w:val="21"/>
          <w:szCs w:val="21"/>
        </w:rPr>
        <w:t>人，营业收入为</w:t>
      </w:r>
      <w:r>
        <w:rPr>
          <w:rFonts w:ascii="宋体" w:hAnsi="宋体"/>
          <w:sz w:val="21"/>
          <w:szCs w:val="21"/>
          <w:u w:val="single"/>
        </w:rPr>
        <w:tab/>
      </w:r>
      <w:r>
        <w:rPr>
          <w:rFonts w:ascii="宋体" w:hAnsi="宋体"/>
          <w:sz w:val="21"/>
          <w:szCs w:val="21"/>
        </w:rPr>
        <w:t>万元，资产总额为</w:t>
      </w:r>
      <w:r>
        <w:rPr>
          <w:rFonts w:ascii="宋体" w:hAnsi="宋体"/>
          <w:sz w:val="21"/>
          <w:szCs w:val="21"/>
          <w:u w:val="single"/>
        </w:rPr>
        <w:tab/>
      </w:r>
      <w:r>
        <w:rPr>
          <w:rFonts w:ascii="宋体" w:hAnsi="宋体"/>
          <w:sz w:val="21"/>
          <w:szCs w:val="21"/>
        </w:rPr>
        <w:t>万元，属于</w:t>
      </w:r>
      <w:r>
        <w:rPr>
          <w:rFonts w:ascii="宋体" w:hAnsi="宋体"/>
          <w:i/>
          <w:sz w:val="21"/>
          <w:szCs w:val="21"/>
          <w:u w:val="single"/>
        </w:rPr>
        <w:t>（中型企业、小型企业、微型企业）</w:t>
      </w:r>
      <w:r>
        <w:rPr>
          <w:rFonts w:ascii="宋体" w:hAnsi="宋体"/>
          <w:sz w:val="21"/>
          <w:szCs w:val="21"/>
        </w:rPr>
        <w:t>；</w:t>
      </w:r>
    </w:p>
    <w:p>
      <w:pPr>
        <w:adjustRightInd w:val="0"/>
        <w:snapToGrid w:val="0"/>
        <w:spacing w:line="288" w:lineRule="auto"/>
        <w:ind w:firstLine="495" w:firstLineChars="236"/>
        <w:rPr>
          <w:rFonts w:ascii="宋体" w:hAnsi="宋体"/>
          <w:sz w:val="21"/>
          <w:szCs w:val="21"/>
        </w:rPr>
      </w:pPr>
      <w:r>
        <w:rPr>
          <w:rFonts w:ascii="宋体" w:hAnsi="宋体"/>
          <w:sz w:val="21"/>
          <w:szCs w:val="21"/>
        </w:rPr>
        <w:t>以上企业，不属于大企业的分支机构，不存在控股股东为大企业的情形，也不存在与大企业的负责人为同一人的情形。</w:t>
      </w:r>
    </w:p>
    <w:p>
      <w:pPr>
        <w:adjustRightInd w:val="0"/>
        <w:snapToGrid w:val="0"/>
        <w:spacing w:line="288" w:lineRule="auto"/>
        <w:ind w:firstLine="495" w:firstLineChars="236"/>
        <w:rPr>
          <w:rFonts w:ascii="宋体" w:hAnsi="宋体"/>
          <w:sz w:val="21"/>
          <w:szCs w:val="21"/>
        </w:rPr>
      </w:pPr>
      <w:r>
        <w:rPr>
          <w:rFonts w:ascii="宋体" w:hAnsi="宋体"/>
          <w:sz w:val="21"/>
          <w:szCs w:val="21"/>
        </w:rPr>
        <w:t>本企业对上述声明内容的真实性负责。如有虚假，将依法承担相应责任。</w:t>
      </w:r>
    </w:p>
    <w:p>
      <w:pPr>
        <w:adjustRightInd w:val="0"/>
        <w:snapToGrid w:val="0"/>
        <w:spacing w:line="288" w:lineRule="auto"/>
        <w:ind w:firstLine="495" w:firstLineChars="236"/>
        <w:rPr>
          <w:rFonts w:ascii="宋体" w:hAnsi="宋体"/>
          <w:sz w:val="21"/>
          <w:szCs w:val="21"/>
        </w:rPr>
      </w:pPr>
      <w:r>
        <w:rPr>
          <w:rFonts w:ascii="宋体" w:hAnsi="宋体"/>
          <w:sz w:val="21"/>
          <w:szCs w:val="21"/>
        </w:rPr>
        <w:t>企业名称（盖章）：</w:t>
      </w:r>
    </w:p>
    <w:p>
      <w:pPr>
        <w:adjustRightInd w:val="0"/>
        <w:snapToGrid w:val="0"/>
        <w:spacing w:line="288" w:lineRule="auto"/>
        <w:ind w:firstLine="495" w:firstLineChars="236"/>
        <w:rPr>
          <w:rFonts w:ascii="宋体" w:hAnsi="宋体"/>
          <w:sz w:val="21"/>
          <w:szCs w:val="21"/>
        </w:rPr>
      </w:pPr>
      <w:r>
        <w:rPr>
          <w:rFonts w:ascii="宋体" w:hAnsi="宋体"/>
          <w:sz w:val="21"/>
          <w:szCs w:val="21"/>
        </w:rPr>
        <w:t>日期：</w:t>
      </w:r>
    </w:p>
    <w:p>
      <w:pPr>
        <w:adjustRightInd w:val="0"/>
        <w:snapToGrid w:val="0"/>
        <w:spacing w:line="288" w:lineRule="auto"/>
        <w:ind w:firstLine="495" w:firstLineChars="236"/>
        <w:rPr>
          <w:rFonts w:ascii="宋体" w:hAnsi="宋体"/>
          <w:sz w:val="21"/>
          <w:szCs w:val="21"/>
        </w:rPr>
      </w:pPr>
    </w:p>
    <w:p>
      <w:pPr>
        <w:adjustRightInd w:val="0"/>
        <w:snapToGrid w:val="0"/>
        <w:spacing w:line="288" w:lineRule="auto"/>
        <w:ind w:firstLine="495" w:firstLineChars="236"/>
        <w:rPr>
          <w:rFonts w:ascii="宋体" w:hAnsi="宋体"/>
          <w:sz w:val="21"/>
          <w:szCs w:val="21"/>
        </w:rPr>
      </w:pPr>
      <w:r>
        <w:rPr>
          <w:rFonts w:hint="eastAsia" w:ascii="宋体" w:hAnsi="宋体"/>
          <w:sz w:val="21"/>
          <w:szCs w:val="21"/>
        </w:rPr>
        <w:t>注：</w:t>
      </w:r>
    </w:p>
    <w:p>
      <w:pPr>
        <w:adjustRightInd w:val="0"/>
        <w:snapToGrid w:val="0"/>
        <w:spacing w:line="288" w:lineRule="auto"/>
        <w:ind w:firstLine="495" w:firstLineChars="236"/>
        <w:rPr>
          <w:rFonts w:ascii="宋体" w:hAnsi="宋体"/>
          <w:sz w:val="21"/>
          <w:szCs w:val="21"/>
        </w:rPr>
      </w:pPr>
      <w:r>
        <w:rPr>
          <w:rFonts w:hint="eastAsia" w:ascii="宋体" w:hAnsi="宋体"/>
          <w:sz w:val="21"/>
          <w:szCs w:val="21"/>
        </w:rPr>
        <w:t>1</w:t>
      </w:r>
      <w:r>
        <w:rPr>
          <w:rFonts w:ascii="宋体" w:hAnsi="宋体"/>
          <w:sz w:val="21"/>
          <w:szCs w:val="21"/>
        </w:rPr>
        <w:t>.</w:t>
      </w:r>
      <w:r>
        <w:rPr>
          <w:rFonts w:hint="eastAsia" w:ascii="宋体" w:hAnsi="宋体"/>
          <w:sz w:val="21"/>
          <w:szCs w:val="21"/>
        </w:rPr>
        <w:t>中小企业参加政府采购活动，应当出具财库〔2020〕46号文件规定的《中小企业声明函》，否则不得享受相关中小企业扶持政策。</w:t>
      </w:r>
    </w:p>
    <w:p>
      <w:pPr>
        <w:adjustRightInd w:val="0"/>
        <w:snapToGrid w:val="0"/>
        <w:spacing w:line="288" w:lineRule="auto"/>
        <w:ind w:firstLine="495" w:firstLineChars="236"/>
        <w:rPr>
          <w:rFonts w:ascii="宋体" w:hAnsi="宋体"/>
          <w:sz w:val="21"/>
          <w:szCs w:val="21"/>
        </w:rPr>
      </w:pPr>
      <w:r>
        <w:rPr>
          <w:rFonts w:hint="eastAsia" w:ascii="宋体" w:hAnsi="宋体"/>
          <w:sz w:val="21"/>
          <w:szCs w:val="21"/>
        </w:rPr>
        <w:t>2</w:t>
      </w:r>
      <w:r>
        <w:rPr>
          <w:rFonts w:ascii="宋体" w:hAnsi="宋体"/>
          <w:sz w:val="21"/>
          <w:szCs w:val="21"/>
        </w:rPr>
        <w:t>.</w:t>
      </w:r>
      <w:r>
        <w:rPr>
          <w:rFonts w:hint="eastAsia" w:ascii="宋体" w:hAnsi="宋体"/>
          <w:sz w:val="21"/>
          <w:szCs w:val="21"/>
        </w:rPr>
        <w:t>从业人员、营业收入、资产总额填报上一年度数据，无上一年度数据的新成立企业可不填报。</w:t>
      </w:r>
    </w:p>
    <w:p>
      <w:pPr>
        <w:adjustRightInd w:val="0"/>
        <w:snapToGrid w:val="0"/>
        <w:spacing w:line="288" w:lineRule="auto"/>
        <w:ind w:firstLine="495" w:firstLineChars="236"/>
        <w:rPr>
          <w:rFonts w:ascii="宋体" w:hAnsi="宋体"/>
          <w:sz w:val="21"/>
          <w:szCs w:val="21"/>
        </w:rPr>
      </w:pPr>
      <w:r>
        <w:rPr>
          <w:rFonts w:ascii="宋体" w:hAnsi="宋体"/>
          <w:sz w:val="21"/>
          <w:szCs w:val="21"/>
        </w:rPr>
        <w:t>3.</w:t>
      </w:r>
      <w:r>
        <w:rPr>
          <w:rFonts w:hint="eastAsia" w:ascii="宋体" w:hAnsi="宋体"/>
          <w:sz w:val="21"/>
          <w:szCs w:val="21"/>
        </w:rPr>
        <w:t>《中小企业声明函》填写不全的，视为未提供《中小企业声明函》（从业人员、营业收入、资产总额在中小企业划型标准规定中不涉及的除外），</w:t>
      </w:r>
      <w:r>
        <w:rPr>
          <w:rFonts w:hint="eastAsia" w:ascii="宋体" w:hAnsi="宋体"/>
          <w:sz w:val="21"/>
          <w:szCs w:val="22"/>
        </w:rPr>
        <w:t>不享受中小企业扶持政策。</w:t>
      </w:r>
      <w:r>
        <w:rPr>
          <w:rFonts w:ascii="宋体" w:hAnsi="宋体" w:cs="宋体"/>
          <w:sz w:val="21"/>
          <w:szCs w:val="21"/>
        </w:rPr>
        <w:t>如项目包含“多件”标的物的，需按标的物项数逐项填写。</w:t>
      </w:r>
    </w:p>
    <w:p>
      <w:pPr>
        <w:adjustRightInd w:val="0"/>
        <w:snapToGrid w:val="0"/>
        <w:spacing w:line="288" w:lineRule="auto"/>
        <w:ind w:firstLine="495" w:firstLineChars="236"/>
        <w:rPr>
          <w:rFonts w:ascii="宋体" w:hAnsi="宋体"/>
          <w:sz w:val="21"/>
          <w:szCs w:val="21"/>
        </w:rPr>
      </w:pPr>
      <w:r>
        <w:rPr>
          <w:rFonts w:hint="eastAsia" w:ascii="宋体" w:hAnsi="宋体"/>
          <w:sz w:val="21"/>
          <w:szCs w:val="21"/>
        </w:rPr>
        <w:t>4</w:t>
      </w:r>
      <w:r>
        <w:rPr>
          <w:rFonts w:ascii="宋体" w:hAnsi="宋体"/>
          <w:sz w:val="21"/>
          <w:szCs w:val="21"/>
        </w:rPr>
        <w:t>.</w:t>
      </w:r>
      <w:r>
        <w:rPr>
          <w:rFonts w:hint="eastAsia" w:ascii="宋体" w:hAnsi="宋体"/>
          <w:sz w:val="21"/>
          <w:szCs w:val="21"/>
        </w:rPr>
        <w:t>投标人提供《中小企业声明函》内容不实的，属于提供虚假材料谋取中标、成交，依照《中华人民共和国政府采购法》等国家有关规定追究相应责任。</w:t>
      </w:r>
    </w:p>
    <w:p>
      <w:pPr>
        <w:adjustRightInd w:val="0"/>
        <w:snapToGrid w:val="0"/>
        <w:spacing w:line="288" w:lineRule="auto"/>
        <w:ind w:firstLine="495" w:firstLineChars="236"/>
        <w:rPr>
          <w:rFonts w:ascii="宋体" w:hAnsi="宋体"/>
          <w:sz w:val="21"/>
          <w:szCs w:val="21"/>
        </w:rPr>
      </w:pPr>
      <w:r>
        <w:rPr>
          <w:rFonts w:hint="eastAsia" w:ascii="宋体" w:hAnsi="宋体"/>
          <w:sz w:val="21"/>
          <w:szCs w:val="21"/>
        </w:rPr>
        <w:t>5.本项目只以《中小企业声明函》作为评判投标人是否属于中小企业的唯一依据。</w:t>
      </w:r>
    </w:p>
    <w:p>
      <w:pPr>
        <w:adjustRightInd w:val="0"/>
        <w:snapToGrid w:val="0"/>
        <w:spacing w:line="288" w:lineRule="auto"/>
        <w:ind w:firstLine="495" w:firstLineChars="236"/>
        <w:rPr>
          <w:rFonts w:ascii="宋体" w:hAnsi="宋体"/>
          <w:sz w:val="21"/>
          <w:szCs w:val="21"/>
        </w:rPr>
      </w:pPr>
      <w:r>
        <w:rPr>
          <w:rFonts w:ascii="宋体" w:hAnsi="宋体"/>
          <w:sz w:val="21"/>
          <w:szCs w:val="21"/>
        </w:rPr>
        <w:br w:type="page"/>
      </w:r>
    </w:p>
    <w:p>
      <w:pPr>
        <w:adjustRightInd w:val="0"/>
        <w:snapToGrid w:val="0"/>
        <w:spacing w:line="288" w:lineRule="auto"/>
        <w:ind w:firstLine="498" w:firstLineChars="236"/>
        <w:jc w:val="center"/>
        <w:outlineLvl w:val="2"/>
        <w:rPr>
          <w:rFonts w:ascii="宋体" w:hAnsi="宋体"/>
          <w:b/>
          <w:bCs/>
          <w:sz w:val="21"/>
          <w:szCs w:val="21"/>
        </w:rPr>
      </w:pPr>
      <w:r>
        <w:rPr>
          <w:rFonts w:hint="eastAsia" w:ascii="宋体" w:hAnsi="宋体"/>
          <w:b/>
          <w:bCs/>
          <w:sz w:val="21"/>
          <w:szCs w:val="21"/>
        </w:rPr>
        <w:t>属于监狱企业的证明文件（若属于监狱企业）</w:t>
      </w:r>
    </w:p>
    <w:p>
      <w:pPr>
        <w:adjustRightInd w:val="0"/>
        <w:snapToGrid w:val="0"/>
        <w:spacing w:line="288" w:lineRule="auto"/>
        <w:rPr>
          <w:rFonts w:ascii="宋体" w:hAnsi="宋体" w:cs="宋体"/>
          <w:color w:val="000000"/>
          <w:kern w:val="0"/>
          <w:sz w:val="21"/>
          <w:szCs w:val="21"/>
        </w:rPr>
      </w:pPr>
    </w:p>
    <w:p>
      <w:pPr>
        <w:adjustRightInd w:val="0"/>
        <w:snapToGrid w:val="0"/>
        <w:spacing w:line="288" w:lineRule="auto"/>
        <w:ind w:firstLine="373" w:firstLineChars="177"/>
        <w:rPr>
          <w:rFonts w:ascii="宋体" w:hAnsi="宋体"/>
          <w:b/>
          <w:bCs/>
          <w:sz w:val="21"/>
          <w:szCs w:val="21"/>
        </w:rPr>
      </w:pPr>
      <w:r>
        <w:rPr>
          <w:rFonts w:hint="eastAsia" w:ascii="宋体" w:hAnsi="宋体" w:cs="宋体"/>
          <w:b/>
          <w:bCs/>
          <w:color w:val="000000"/>
          <w:kern w:val="0"/>
          <w:sz w:val="21"/>
          <w:szCs w:val="21"/>
        </w:rPr>
        <w:t>监狱企业参加政府采购活动时，应当提供由省级以上监狱管理局、戒毒管理局（含新疆生产建设兵团）出具的属于监狱企业的证明文件。</w:t>
      </w:r>
    </w:p>
    <w:p>
      <w:pPr>
        <w:adjustRightInd w:val="0"/>
        <w:snapToGrid w:val="0"/>
        <w:spacing w:line="288" w:lineRule="auto"/>
        <w:rPr>
          <w:rFonts w:ascii="宋体" w:hAnsi="宋体"/>
          <w:sz w:val="21"/>
          <w:szCs w:val="21"/>
        </w:rPr>
      </w:pPr>
    </w:p>
    <w:p>
      <w:pPr>
        <w:adjustRightInd w:val="0"/>
        <w:snapToGrid w:val="0"/>
        <w:spacing w:line="288" w:lineRule="auto"/>
        <w:rPr>
          <w:rFonts w:ascii="宋体" w:hAnsi="宋体"/>
          <w:b/>
          <w:bCs/>
          <w:sz w:val="21"/>
          <w:szCs w:val="21"/>
        </w:rPr>
      </w:pPr>
      <w:r>
        <w:rPr>
          <w:rFonts w:hint="eastAsia" w:ascii="宋体" w:hAnsi="宋体"/>
          <w:b/>
          <w:bCs/>
          <w:sz w:val="21"/>
          <w:szCs w:val="21"/>
        </w:rPr>
        <w:t>说明：</w:t>
      </w:r>
    </w:p>
    <w:p>
      <w:pPr>
        <w:widowControl/>
        <w:shd w:val="clear" w:color="auto" w:fill="FFFFFF"/>
        <w:adjustRightInd w:val="0"/>
        <w:snapToGrid w:val="0"/>
        <w:spacing w:line="288" w:lineRule="auto"/>
        <w:ind w:firstLine="371" w:firstLineChars="177"/>
        <w:jc w:val="left"/>
        <w:rPr>
          <w:rFonts w:ascii="宋体" w:hAnsi="宋体" w:cs="宋体"/>
          <w:color w:val="000000"/>
          <w:kern w:val="0"/>
          <w:sz w:val="21"/>
          <w:szCs w:val="21"/>
        </w:rPr>
      </w:pPr>
      <w:r>
        <w:rPr>
          <w:rFonts w:hint="eastAsia" w:ascii="宋体" w:hAnsi="宋体" w:cs="宋体"/>
          <w:color w:val="000000"/>
          <w:kern w:val="0"/>
          <w:sz w:val="21"/>
          <w:szCs w:val="21"/>
        </w:rPr>
        <w:t>一、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参加政府采购活动时，应当提供由省级以上监狱管理局、戒毒管理局（含新疆生产建设兵团）出具的属于监狱企业的证明文件。</w:t>
      </w:r>
    </w:p>
    <w:p>
      <w:pPr>
        <w:widowControl/>
        <w:shd w:val="clear" w:color="auto" w:fill="FFFFFF"/>
        <w:adjustRightInd w:val="0"/>
        <w:snapToGrid w:val="0"/>
        <w:spacing w:line="288" w:lineRule="auto"/>
        <w:ind w:firstLine="371" w:firstLineChars="177"/>
        <w:jc w:val="left"/>
        <w:rPr>
          <w:rFonts w:ascii="宋体" w:hAnsi="宋体" w:cs="宋体"/>
          <w:color w:val="000000"/>
          <w:kern w:val="0"/>
          <w:sz w:val="21"/>
          <w:szCs w:val="21"/>
        </w:rPr>
      </w:pPr>
      <w:r>
        <w:rPr>
          <w:rFonts w:hint="eastAsia" w:ascii="宋体" w:hAnsi="宋体" w:cs="宋体"/>
          <w:color w:val="000000"/>
          <w:kern w:val="0"/>
          <w:sz w:val="21"/>
          <w:szCs w:val="21"/>
        </w:rPr>
        <w:t>二、在政府采购活动中，监狱企业视同小型、微型企业，享受预留份额、评审中价格扣除等政府采购促进中小企业发展的政府采购政策。</w:t>
      </w:r>
    </w:p>
    <w:p>
      <w:pPr>
        <w:widowControl/>
        <w:adjustRightInd w:val="0"/>
        <w:snapToGrid w:val="0"/>
        <w:spacing w:line="288" w:lineRule="auto"/>
        <w:jc w:val="left"/>
        <w:rPr>
          <w:rFonts w:ascii="宋体" w:hAnsi="宋体" w:cs="宋体"/>
          <w:b/>
          <w:spacing w:val="-6"/>
          <w:sz w:val="21"/>
          <w:szCs w:val="21"/>
        </w:rPr>
      </w:pPr>
      <w:r>
        <w:rPr>
          <w:rFonts w:ascii="宋体" w:hAnsi="宋体" w:cs="宋体"/>
          <w:b/>
          <w:spacing w:val="-6"/>
          <w:sz w:val="21"/>
          <w:szCs w:val="21"/>
        </w:rPr>
        <w:br w:type="page"/>
      </w:r>
    </w:p>
    <w:p>
      <w:pPr>
        <w:adjustRightInd w:val="0"/>
        <w:snapToGrid w:val="0"/>
        <w:spacing w:line="288" w:lineRule="auto"/>
        <w:ind w:firstLine="498" w:firstLineChars="236"/>
        <w:jc w:val="center"/>
        <w:outlineLvl w:val="2"/>
        <w:rPr>
          <w:rFonts w:ascii="宋体" w:hAnsi="宋体"/>
          <w:b/>
          <w:bCs/>
          <w:sz w:val="21"/>
          <w:szCs w:val="21"/>
        </w:rPr>
      </w:pPr>
      <w:r>
        <w:rPr>
          <w:rFonts w:hint="eastAsia" w:ascii="宋体" w:hAnsi="宋体"/>
          <w:b/>
          <w:bCs/>
          <w:sz w:val="21"/>
          <w:szCs w:val="21"/>
        </w:rPr>
        <w:t>残疾人福利性单位声明函（若属于残疾人福利性单位）</w:t>
      </w:r>
    </w:p>
    <w:p>
      <w:pPr>
        <w:adjustRightInd w:val="0"/>
        <w:snapToGrid w:val="0"/>
        <w:spacing w:line="288" w:lineRule="auto"/>
        <w:rPr>
          <w:rFonts w:ascii="宋体" w:hAnsi="宋体"/>
          <w:b/>
          <w:spacing w:val="6"/>
          <w:sz w:val="21"/>
          <w:szCs w:val="21"/>
        </w:rPr>
      </w:pPr>
    </w:p>
    <w:p>
      <w:pPr>
        <w:adjustRightInd w:val="0"/>
        <w:snapToGrid w:val="0"/>
        <w:spacing w:line="288" w:lineRule="auto"/>
        <w:ind w:firstLine="444" w:firstLineChars="200"/>
        <w:rPr>
          <w:rFonts w:ascii="宋体" w:hAnsi="宋体"/>
          <w:spacing w:val="6"/>
          <w:sz w:val="21"/>
          <w:szCs w:val="21"/>
        </w:rPr>
      </w:pPr>
      <w:r>
        <w:rPr>
          <w:rFonts w:hint="eastAsia" w:ascii="宋体" w:hAnsi="宋体"/>
          <w:spacing w:val="6"/>
          <w:sz w:val="21"/>
          <w:szCs w:val="21"/>
        </w:rPr>
        <w:t>本单位郑重声明，根据《财政部 民政部 中国残疾人联合会关于促进残疾人就业政府采购政策的通知》（财库</w:t>
      </w:r>
      <w:r>
        <w:rPr>
          <w:rFonts w:hint="eastAsia" w:ascii="宋体" w:hAnsi="宋体"/>
          <w:sz w:val="21"/>
          <w:szCs w:val="21"/>
        </w:rPr>
        <w:t>〔2017〕 141</w:t>
      </w:r>
      <w:r>
        <w:rPr>
          <w:rFonts w:hint="eastAsia" w:ascii="宋体" w:hAnsi="宋体"/>
          <w:spacing w:val="6"/>
          <w:sz w:val="21"/>
          <w:szCs w:val="21"/>
        </w:rPr>
        <w:t>号）的规定，</w:t>
      </w:r>
      <w:r>
        <w:rPr>
          <w:rFonts w:hint="eastAsia" w:ascii="宋体" w:hAnsi="宋体"/>
          <w:b/>
          <w:bCs/>
          <w:spacing w:val="6"/>
          <w:sz w:val="21"/>
          <w:szCs w:val="21"/>
        </w:rPr>
        <w:t>本单位为符合条件的残疾人福利性单位</w:t>
      </w:r>
      <w:r>
        <w:rPr>
          <w:rFonts w:hint="eastAsia" w:ascii="宋体" w:hAnsi="宋体"/>
          <w:spacing w:val="6"/>
          <w:sz w:val="21"/>
          <w:szCs w:val="21"/>
        </w:rPr>
        <w:t>，且本单位参加______（采购人）单位的______（项目名称）项目采购活动由本单位提供服务。</w:t>
      </w:r>
    </w:p>
    <w:p>
      <w:pPr>
        <w:adjustRightInd w:val="0"/>
        <w:snapToGrid w:val="0"/>
        <w:spacing w:line="288" w:lineRule="auto"/>
        <w:ind w:firstLine="444" w:firstLineChars="200"/>
        <w:rPr>
          <w:rFonts w:ascii="宋体" w:hAnsi="宋体"/>
          <w:spacing w:val="6"/>
          <w:sz w:val="21"/>
          <w:szCs w:val="21"/>
        </w:rPr>
      </w:pPr>
      <w:r>
        <w:rPr>
          <w:rFonts w:hint="eastAsia" w:ascii="宋体" w:hAnsi="宋体"/>
          <w:spacing w:val="6"/>
          <w:sz w:val="21"/>
          <w:szCs w:val="21"/>
        </w:rPr>
        <w:t>本单位对上述声明的真实性负责。如有虚假，将依法承担相应责任。</w:t>
      </w:r>
    </w:p>
    <w:p>
      <w:pPr>
        <w:tabs>
          <w:tab w:val="left" w:pos="4860"/>
        </w:tabs>
        <w:adjustRightInd w:val="0"/>
        <w:snapToGrid w:val="0"/>
        <w:spacing w:line="288" w:lineRule="auto"/>
        <w:ind w:right="1560" w:firstLine="444" w:firstLineChars="200"/>
        <w:rPr>
          <w:rFonts w:ascii="宋体" w:hAnsi="宋体"/>
          <w:spacing w:val="6"/>
          <w:sz w:val="21"/>
          <w:szCs w:val="21"/>
        </w:rPr>
      </w:pPr>
      <w:r>
        <w:rPr>
          <w:rFonts w:hint="eastAsia" w:ascii="宋体" w:hAnsi="宋体"/>
          <w:spacing w:val="6"/>
          <w:sz w:val="21"/>
          <w:szCs w:val="21"/>
        </w:rPr>
        <w:t>单位名称（盖章）：</w:t>
      </w:r>
    </w:p>
    <w:p>
      <w:pPr>
        <w:tabs>
          <w:tab w:val="left" w:pos="4860"/>
        </w:tabs>
        <w:adjustRightInd w:val="0"/>
        <w:snapToGrid w:val="0"/>
        <w:spacing w:line="288" w:lineRule="auto"/>
        <w:ind w:right="1560" w:firstLine="444" w:firstLineChars="200"/>
        <w:rPr>
          <w:rFonts w:ascii="宋体" w:hAnsi="宋体"/>
          <w:spacing w:val="6"/>
          <w:sz w:val="21"/>
          <w:szCs w:val="21"/>
        </w:rPr>
      </w:pPr>
      <w:r>
        <w:rPr>
          <w:rFonts w:hint="eastAsia" w:ascii="宋体" w:hAnsi="宋体"/>
          <w:spacing w:val="6"/>
          <w:sz w:val="21"/>
          <w:szCs w:val="21"/>
        </w:rPr>
        <w:t>日  期：</w:t>
      </w:r>
    </w:p>
    <w:p>
      <w:pPr>
        <w:adjustRightInd w:val="0"/>
        <w:snapToGrid w:val="0"/>
        <w:spacing w:line="288" w:lineRule="auto"/>
        <w:rPr>
          <w:rFonts w:ascii="宋体" w:hAnsi="宋体"/>
          <w:sz w:val="21"/>
          <w:szCs w:val="21"/>
        </w:rPr>
      </w:pPr>
    </w:p>
    <w:p>
      <w:pPr>
        <w:adjustRightInd w:val="0"/>
        <w:snapToGrid w:val="0"/>
        <w:spacing w:line="288" w:lineRule="auto"/>
        <w:rPr>
          <w:rFonts w:ascii="宋体" w:hAnsi="宋体"/>
          <w:b/>
          <w:bCs/>
          <w:sz w:val="21"/>
          <w:szCs w:val="21"/>
        </w:rPr>
      </w:pPr>
      <w:r>
        <w:rPr>
          <w:rFonts w:hint="eastAsia" w:ascii="宋体" w:hAnsi="宋体"/>
          <w:b/>
          <w:bCs/>
          <w:sz w:val="21"/>
          <w:szCs w:val="21"/>
        </w:rPr>
        <w:t>说明：</w:t>
      </w:r>
    </w:p>
    <w:p>
      <w:pPr>
        <w:pStyle w:val="22"/>
        <w:shd w:val="clear" w:color="auto" w:fill="FFFFFF"/>
        <w:adjustRightInd w:val="0"/>
        <w:snapToGrid w:val="0"/>
        <w:spacing w:before="0" w:beforeAutospacing="0" w:after="0" w:afterAutospacing="0" w:line="288" w:lineRule="auto"/>
        <w:ind w:firstLine="371" w:firstLineChars="177"/>
        <w:rPr>
          <w:color w:val="000000"/>
          <w:sz w:val="21"/>
          <w:szCs w:val="21"/>
        </w:rPr>
      </w:pPr>
      <w:r>
        <w:rPr>
          <w:rFonts w:hint="eastAsia"/>
          <w:color w:val="000000"/>
          <w:sz w:val="21"/>
          <w:szCs w:val="21"/>
        </w:rPr>
        <w:t>一、享受政府采购支持政策的残疾人福利性单位应当同时满足以下条件：</w:t>
      </w:r>
    </w:p>
    <w:p>
      <w:pPr>
        <w:pStyle w:val="22"/>
        <w:shd w:val="clear" w:color="auto" w:fill="FFFFFF"/>
        <w:adjustRightInd w:val="0"/>
        <w:snapToGrid w:val="0"/>
        <w:spacing w:before="0" w:beforeAutospacing="0" w:after="0" w:afterAutospacing="0" w:line="288" w:lineRule="auto"/>
        <w:ind w:firstLine="371" w:firstLineChars="177"/>
        <w:rPr>
          <w:color w:val="000000"/>
          <w:sz w:val="21"/>
          <w:szCs w:val="21"/>
        </w:rPr>
      </w:pPr>
      <w:r>
        <w:rPr>
          <w:rFonts w:hint="eastAsia"/>
          <w:color w:val="000000"/>
          <w:sz w:val="21"/>
          <w:szCs w:val="21"/>
        </w:rPr>
        <w:t>（一）安置的残疾人占本单位在职职工人数的比例不低于25%（含25%），并且安置的残疾人人数不少于10人（含10人）；</w:t>
      </w:r>
    </w:p>
    <w:p>
      <w:pPr>
        <w:pStyle w:val="22"/>
        <w:shd w:val="clear" w:color="auto" w:fill="FFFFFF"/>
        <w:adjustRightInd w:val="0"/>
        <w:snapToGrid w:val="0"/>
        <w:spacing w:before="0" w:beforeAutospacing="0" w:after="0" w:afterAutospacing="0" w:line="288" w:lineRule="auto"/>
        <w:ind w:firstLine="371" w:firstLineChars="177"/>
        <w:rPr>
          <w:color w:val="000000"/>
          <w:sz w:val="21"/>
          <w:szCs w:val="21"/>
        </w:rPr>
      </w:pPr>
      <w:r>
        <w:rPr>
          <w:rFonts w:hint="eastAsia"/>
          <w:color w:val="000000"/>
          <w:sz w:val="21"/>
          <w:szCs w:val="21"/>
        </w:rPr>
        <w:t>（二）依法与安置的每位残疾人签订了一年以上（含一年）的劳动合同或服务协议；</w:t>
      </w:r>
    </w:p>
    <w:p>
      <w:pPr>
        <w:pStyle w:val="22"/>
        <w:shd w:val="clear" w:color="auto" w:fill="FFFFFF"/>
        <w:adjustRightInd w:val="0"/>
        <w:snapToGrid w:val="0"/>
        <w:spacing w:before="0" w:beforeAutospacing="0" w:after="0" w:afterAutospacing="0" w:line="288" w:lineRule="auto"/>
        <w:ind w:firstLine="371" w:firstLineChars="177"/>
        <w:rPr>
          <w:color w:val="000000"/>
          <w:sz w:val="21"/>
          <w:szCs w:val="21"/>
        </w:rPr>
      </w:pPr>
      <w:r>
        <w:rPr>
          <w:rFonts w:hint="eastAsia"/>
          <w:color w:val="000000"/>
          <w:sz w:val="21"/>
          <w:szCs w:val="21"/>
        </w:rPr>
        <w:t>（三）为安置的每位残疾人按月足额缴纳了基本养老保险、基本医疗保险、失业保险、工伤保险和生育保险等社会保险费；</w:t>
      </w:r>
    </w:p>
    <w:p>
      <w:pPr>
        <w:pStyle w:val="22"/>
        <w:shd w:val="clear" w:color="auto" w:fill="FFFFFF"/>
        <w:adjustRightInd w:val="0"/>
        <w:snapToGrid w:val="0"/>
        <w:spacing w:before="0" w:beforeAutospacing="0" w:after="0" w:afterAutospacing="0" w:line="288" w:lineRule="auto"/>
        <w:ind w:firstLine="371" w:firstLineChars="177"/>
        <w:rPr>
          <w:color w:val="000000"/>
          <w:sz w:val="21"/>
          <w:szCs w:val="21"/>
        </w:rPr>
      </w:pPr>
      <w:r>
        <w:rPr>
          <w:rFonts w:hint="eastAsia"/>
          <w:color w:val="000000"/>
          <w:sz w:val="21"/>
          <w:szCs w:val="21"/>
        </w:rPr>
        <w:t>（四）通过银行等金融机构向安置的每位残疾人，按月支付了不低于单位所在区县适用的经省级人民政府批准的月最低工资标准的工资；</w:t>
      </w:r>
    </w:p>
    <w:p>
      <w:pPr>
        <w:pStyle w:val="22"/>
        <w:shd w:val="clear" w:color="auto" w:fill="FFFFFF"/>
        <w:adjustRightInd w:val="0"/>
        <w:snapToGrid w:val="0"/>
        <w:spacing w:before="0" w:beforeAutospacing="0" w:after="0" w:afterAutospacing="0" w:line="288" w:lineRule="auto"/>
        <w:ind w:firstLine="371" w:firstLineChars="177"/>
        <w:rPr>
          <w:color w:val="000000"/>
          <w:sz w:val="21"/>
          <w:szCs w:val="21"/>
        </w:rPr>
      </w:pPr>
      <w:r>
        <w:rPr>
          <w:rFonts w:hint="eastAsia"/>
          <w:color w:val="000000"/>
          <w:sz w:val="21"/>
          <w:szCs w:val="21"/>
        </w:rPr>
        <w:t>（五）提供本单位制造的货物、承担的工程或者服务（以下简称产品），或者提供其他残疾人福利性单位制造的货物（不包括使用非残疾人福利性单位注册商标的货物）。</w:t>
      </w:r>
    </w:p>
    <w:p>
      <w:pPr>
        <w:pStyle w:val="22"/>
        <w:shd w:val="clear" w:color="auto" w:fill="FFFFFF"/>
        <w:adjustRightInd w:val="0"/>
        <w:snapToGrid w:val="0"/>
        <w:spacing w:before="0" w:beforeAutospacing="0" w:after="0" w:afterAutospacing="0" w:line="288" w:lineRule="auto"/>
        <w:ind w:firstLine="371" w:firstLineChars="177"/>
        <w:rPr>
          <w:color w:val="000000"/>
          <w:sz w:val="21"/>
          <w:szCs w:val="21"/>
        </w:rPr>
      </w:pPr>
      <w:r>
        <w:rPr>
          <w:rFonts w:hint="eastAsia"/>
          <w:color w:val="000000"/>
          <w:sz w:val="21"/>
          <w:szCs w:val="21"/>
        </w:rPr>
        <w:t>前款所称残疾人是指法定劳动年龄内，持有《中华人民共和国残疾人证》或者《中华人民共和国残疾军人证（1至8级）》的自然人，包括具有劳动条件和劳动意愿的精神残疾人。在职职工人数是指与残疾人福利性单位建立劳动关系并依法签订劳动合同或者服务协议的雇员人数。</w:t>
      </w:r>
    </w:p>
    <w:p>
      <w:pPr>
        <w:pStyle w:val="22"/>
        <w:shd w:val="clear" w:color="auto" w:fill="FFFFFF"/>
        <w:adjustRightInd w:val="0"/>
        <w:snapToGrid w:val="0"/>
        <w:spacing w:before="0" w:beforeAutospacing="0" w:after="0" w:afterAutospacing="0" w:line="288" w:lineRule="auto"/>
        <w:ind w:firstLine="371" w:firstLineChars="177"/>
        <w:rPr>
          <w:color w:val="FF0000"/>
          <w:sz w:val="21"/>
          <w:szCs w:val="21"/>
        </w:rPr>
      </w:pPr>
      <w:r>
        <w:rPr>
          <w:rFonts w:hint="eastAsia"/>
          <w:color w:val="000000"/>
          <w:sz w:val="21"/>
          <w:szCs w:val="21"/>
        </w:rPr>
        <w:t>二、符合条件的残疾人福利性单位在参加政府采购活动时，应当提供</w:t>
      </w:r>
      <w:r>
        <w:rPr>
          <w:rFonts w:hint="eastAsia"/>
          <w:sz w:val="21"/>
          <w:szCs w:val="21"/>
        </w:rPr>
        <w:t>财库</w:t>
      </w:r>
      <w:r>
        <w:rPr>
          <w:sz w:val="21"/>
          <w:szCs w:val="21"/>
        </w:rPr>
        <w:t>[2017]141号</w:t>
      </w:r>
      <w:r>
        <w:rPr>
          <w:rFonts w:hint="eastAsia"/>
          <w:sz w:val="21"/>
          <w:szCs w:val="21"/>
        </w:rPr>
        <w:t>文件</w:t>
      </w:r>
      <w:r>
        <w:rPr>
          <w:rFonts w:hint="eastAsia"/>
          <w:color w:val="000000"/>
          <w:sz w:val="21"/>
          <w:szCs w:val="21"/>
        </w:rPr>
        <w:t>规定的《残疾人福利性单位声明函》</w:t>
      </w:r>
      <w:r>
        <w:rPr>
          <w:rFonts w:hint="eastAsia"/>
          <w:sz w:val="21"/>
          <w:szCs w:val="21"/>
        </w:rPr>
        <w:t>，并对声明的真实性负责。</w:t>
      </w:r>
    </w:p>
    <w:p>
      <w:pPr>
        <w:pStyle w:val="22"/>
        <w:shd w:val="clear" w:color="auto" w:fill="FFFFFF"/>
        <w:adjustRightInd w:val="0"/>
        <w:snapToGrid w:val="0"/>
        <w:spacing w:before="0" w:beforeAutospacing="0" w:after="0" w:afterAutospacing="0" w:line="288" w:lineRule="auto"/>
        <w:ind w:firstLine="371" w:firstLineChars="177"/>
        <w:rPr>
          <w:color w:val="FF0000"/>
          <w:sz w:val="21"/>
          <w:szCs w:val="21"/>
        </w:rPr>
      </w:pPr>
      <w:r>
        <w:rPr>
          <w:rFonts w:hint="eastAsia"/>
          <w:color w:val="000000"/>
          <w:sz w:val="21"/>
          <w:szCs w:val="21"/>
        </w:rPr>
        <w:t>三、在政府采购活动中，残疾人福利性单位视同小型、微型企业，享受预留份额、评审中价格扣除等促进中小企业发展的政府采购政策。</w:t>
      </w:r>
    </w:p>
    <w:p>
      <w:pPr>
        <w:pStyle w:val="22"/>
        <w:shd w:val="clear" w:color="auto" w:fill="FFFFFF"/>
        <w:adjustRightInd w:val="0"/>
        <w:snapToGrid w:val="0"/>
        <w:spacing w:before="0" w:beforeAutospacing="0" w:after="0" w:afterAutospacing="0" w:line="288" w:lineRule="auto"/>
        <w:ind w:firstLine="371" w:firstLineChars="177"/>
        <w:rPr>
          <w:sz w:val="21"/>
          <w:szCs w:val="21"/>
        </w:rPr>
      </w:pPr>
      <w:r>
        <w:rPr>
          <w:rFonts w:hint="eastAsia"/>
          <w:sz w:val="21"/>
          <w:szCs w:val="21"/>
        </w:rPr>
        <w:t>残疾人福利性单位属于小型、微型企业的，不重复享受政策。</w:t>
      </w:r>
    </w:p>
    <w:p>
      <w:pPr>
        <w:widowControl/>
        <w:adjustRightInd w:val="0"/>
        <w:snapToGrid w:val="0"/>
        <w:spacing w:line="288" w:lineRule="auto"/>
        <w:jc w:val="left"/>
        <w:rPr>
          <w:rFonts w:ascii="宋体" w:hAnsi="宋体"/>
          <w:b/>
          <w:bCs/>
          <w:spacing w:val="-6"/>
          <w:sz w:val="21"/>
          <w:szCs w:val="21"/>
        </w:rPr>
      </w:pPr>
      <w:r>
        <w:rPr>
          <w:rFonts w:ascii="宋体" w:hAnsi="宋体"/>
          <w:b/>
          <w:bCs/>
          <w:spacing w:val="-6"/>
          <w:sz w:val="21"/>
          <w:szCs w:val="21"/>
        </w:rPr>
        <w:br w:type="page"/>
      </w:r>
    </w:p>
    <w:p>
      <w:pPr>
        <w:adjustRightInd w:val="0"/>
        <w:snapToGrid w:val="0"/>
        <w:spacing w:line="288" w:lineRule="auto"/>
        <w:ind w:firstLine="498" w:firstLineChars="236"/>
        <w:jc w:val="left"/>
        <w:outlineLvl w:val="2"/>
        <w:rPr>
          <w:rFonts w:ascii="宋体" w:hAnsi="宋体"/>
          <w:b/>
          <w:bCs/>
          <w:sz w:val="21"/>
          <w:szCs w:val="21"/>
        </w:rPr>
      </w:pPr>
      <w:r>
        <w:rPr>
          <w:rFonts w:hint="eastAsia" w:ascii="宋体" w:hAnsi="宋体"/>
          <w:b/>
          <w:bCs/>
          <w:sz w:val="21"/>
          <w:szCs w:val="21"/>
        </w:rPr>
        <w:t>（</w:t>
      </w:r>
      <w:r>
        <w:rPr>
          <w:rFonts w:ascii="宋体" w:hAnsi="宋体"/>
          <w:b/>
          <w:bCs/>
          <w:sz w:val="21"/>
          <w:szCs w:val="21"/>
        </w:rPr>
        <w:t>4</w:t>
      </w:r>
      <w:r>
        <w:rPr>
          <w:rFonts w:hint="eastAsia" w:ascii="宋体" w:hAnsi="宋体"/>
          <w:b/>
          <w:bCs/>
          <w:sz w:val="21"/>
          <w:szCs w:val="21"/>
        </w:rPr>
        <w:t>）本项目的特定资格要求证明材料：无</w:t>
      </w:r>
    </w:p>
    <w:p>
      <w:pPr>
        <w:pStyle w:val="20"/>
        <w:adjustRightInd w:val="0"/>
        <w:snapToGrid w:val="0"/>
        <w:spacing w:line="288" w:lineRule="auto"/>
        <w:ind w:left="0" w:firstLine="0" w:firstLineChars="0"/>
        <w:jc w:val="center"/>
        <w:outlineLvl w:val="1"/>
        <w:rPr>
          <w:rFonts w:ascii="宋体" w:hAnsi="宋体"/>
          <w:bCs/>
          <w:spacing w:val="-6"/>
          <w:sz w:val="21"/>
          <w:szCs w:val="21"/>
        </w:rPr>
      </w:pPr>
      <w:r>
        <w:rPr>
          <w:rFonts w:ascii="宋体" w:hAnsi="宋体"/>
          <w:b/>
          <w:spacing w:val="-6"/>
          <w:sz w:val="21"/>
          <w:szCs w:val="21"/>
        </w:rPr>
        <w:br w:type="page"/>
      </w:r>
      <w:r>
        <w:rPr>
          <w:rFonts w:hint="eastAsia" w:ascii="宋体" w:hAnsi="宋体"/>
          <w:b/>
          <w:spacing w:val="-6"/>
          <w:sz w:val="21"/>
          <w:szCs w:val="21"/>
        </w:rPr>
        <w:t>商务和技术文件</w:t>
      </w:r>
    </w:p>
    <w:p>
      <w:pPr>
        <w:adjustRightInd w:val="0"/>
        <w:snapToGrid w:val="0"/>
        <w:spacing w:line="288" w:lineRule="auto"/>
        <w:ind w:firstLine="498" w:firstLineChars="236"/>
        <w:jc w:val="center"/>
        <w:outlineLvl w:val="2"/>
        <w:rPr>
          <w:rFonts w:ascii="宋体" w:hAnsi="宋体"/>
          <w:b/>
          <w:bCs/>
          <w:sz w:val="21"/>
          <w:szCs w:val="21"/>
        </w:rPr>
      </w:pPr>
      <w:r>
        <w:rPr>
          <w:rFonts w:hint="eastAsia" w:ascii="宋体" w:hAnsi="宋体"/>
          <w:b/>
          <w:bCs/>
          <w:sz w:val="21"/>
          <w:szCs w:val="21"/>
        </w:rPr>
        <w:t>（1）投标函</w:t>
      </w:r>
    </w:p>
    <w:p>
      <w:pPr>
        <w:adjustRightInd w:val="0"/>
        <w:snapToGrid w:val="0"/>
        <w:spacing w:line="288" w:lineRule="auto"/>
        <w:rPr>
          <w:rFonts w:ascii="宋体" w:hAnsi="宋体"/>
          <w:b/>
          <w:bCs/>
          <w:spacing w:val="-6"/>
          <w:sz w:val="21"/>
          <w:szCs w:val="21"/>
        </w:rPr>
      </w:pPr>
    </w:p>
    <w:p>
      <w:pPr>
        <w:adjustRightInd w:val="0"/>
        <w:snapToGrid w:val="0"/>
        <w:spacing w:line="288" w:lineRule="auto"/>
        <w:rPr>
          <w:rFonts w:ascii="宋体" w:hAnsi="宋体"/>
          <w:b/>
          <w:bCs/>
          <w:spacing w:val="-6"/>
          <w:sz w:val="21"/>
          <w:szCs w:val="21"/>
        </w:rPr>
      </w:pPr>
      <w:r>
        <w:rPr>
          <w:rFonts w:hint="eastAsia" w:ascii="宋体" w:hAnsi="宋体"/>
          <w:b/>
          <w:bCs/>
          <w:spacing w:val="-6"/>
          <w:sz w:val="21"/>
          <w:szCs w:val="21"/>
        </w:rPr>
        <w:t>致：中国林业科学研究院亚热带林业研究所、浙江求是招标代理有限公司</w:t>
      </w:r>
    </w:p>
    <w:p>
      <w:pPr>
        <w:adjustRightInd w:val="0"/>
        <w:snapToGrid w:val="0"/>
        <w:spacing w:line="288" w:lineRule="auto"/>
        <w:ind w:firstLine="396" w:firstLineChars="200"/>
        <w:rPr>
          <w:rFonts w:ascii="宋体" w:hAnsi="宋体"/>
          <w:spacing w:val="-6"/>
          <w:sz w:val="21"/>
          <w:szCs w:val="21"/>
          <w:highlight w:val="cyan"/>
        </w:rPr>
      </w:pP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我方参加</w:t>
      </w:r>
      <w:r>
        <w:rPr>
          <w:rFonts w:hint="eastAsia" w:ascii="宋体" w:hAnsi="宋体"/>
          <w:bCs/>
          <w:spacing w:val="-6"/>
          <w:sz w:val="21"/>
          <w:szCs w:val="21"/>
          <w:u w:val="single"/>
        </w:rPr>
        <w:t>中国林业科学研究院亚热带林业研究所安全保洁物业服务</w:t>
      </w:r>
      <w:r>
        <w:rPr>
          <w:rFonts w:hint="eastAsia" w:ascii="宋体" w:hAnsi="宋体"/>
          <w:spacing w:val="-6"/>
          <w:sz w:val="21"/>
          <w:szCs w:val="21"/>
          <w:u w:val="single"/>
        </w:rPr>
        <w:t>（项目编号</w:t>
      </w:r>
      <w:r>
        <w:rPr>
          <w:rFonts w:hint="eastAsia" w:ascii="宋体" w:hAnsi="宋体"/>
          <w:bCs/>
          <w:spacing w:val="-6"/>
          <w:sz w:val="21"/>
          <w:szCs w:val="21"/>
          <w:u w:val="single"/>
        </w:rPr>
        <w:t>：</w:t>
      </w:r>
      <w:r>
        <w:rPr>
          <w:rFonts w:hint="eastAsia" w:ascii="宋体" w:hAnsi="宋体"/>
          <w:bCs/>
          <w:spacing w:val="-6"/>
          <w:sz w:val="21"/>
          <w:szCs w:val="21"/>
          <w:u w:val="single"/>
          <w:lang w:eastAsia="zh-CN"/>
        </w:rPr>
        <w:t>QSZB-Z(F)-B24035(GK)</w:t>
      </w:r>
      <w:r>
        <w:rPr>
          <w:rFonts w:hint="eastAsia" w:ascii="宋体" w:hAnsi="宋体"/>
          <w:spacing w:val="-6"/>
          <w:sz w:val="21"/>
          <w:szCs w:val="21"/>
          <w:u w:val="single"/>
        </w:rPr>
        <w:t>）</w:t>
      </w:r>
      <w:r>
        <w:rPr>
          <w:rFonts w:hint="eastAsia" w:ascii="宋体" w:hAnsi="宋体"/>
          <w:spacing w:val="-6"/>
          <w:sz w:val="21"/>
          <w:szCs w:val="21"/>
        </w:rPr>
        <w:t>项目，为此，我方提交投标文件（报价文件、资格文件、商务和技术文件）正本一份、副本___份。签名代表宣布同意如下：</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1</w:t>
      </w:r>
      <w:r>
        <w:rPr>
          <w:rFonts w:ascii="宋体" w:hAnsi="宋体"/>
          <w:spacing w:val="-6"/>
          <w:sz w:val="21"/>
          <w:szCs w:val="21"/>
        </w:rPr>
        <w:t>.</w:t>
      </w:r>
      <w:r>
        <w:rPr>
          <w:rFonts w:hint="eastAsia" w:ascii="宋体" w:hAnsi="宋体"/>
          <w:spacing w:val="-6"/>
          <w:sz w:val="21"/>
          <w:szCs w:val="21"/>
        </w:rPr>
        <w:t>我方已详细审查全部“招标文件”，包括修改文件（如有）以及全部参考资料和有关附件，已经了解我方对于招标文件、招标过程、中标结果有依法进行询问、质疑、投诉的权利及相关渠道和要求。</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2</w:t>
      </w:r>
      <w:r>
        <w:rPr>
          <w:rFonts w:ascii="宋体" w:hAnsi="宋体"/>
          <w:spacing w:val="-6"/>
          <w:sz w:val="21"/>
          <w:szCs w:val="21"/>
        </w:rPr>
        <w:t>.</w:t>
      </w:r>
      <w:r>
        <w:rPr>
          <w:rFonts w:hint="eastAsia" w:ascii="宋体" w:hAnsi="宋体"/>
          <w:spacing w:val="-6"/>
          <w:sz w:val="21"/>
          <w:szCs w:val="21"/>
        </w:rPr>
        <w:t>我方在投标之前已经与贵方进行了充分的沟通，完全理解并接受招标文件的各项规定和要求，对招标文件的合理性、合法性不再有异议。</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3</w:t>
      </w:r>
      <w:r>
        <w:rPr>
          <w:rFonts w:ascii="宋体" w:hAnsi="宋体"/>
          <w:spacing w:val="-6"/>
          <w:sz w:val="21"/>
          <w:szCs w:val="21"/>
        </w:rPr>
        <w:t>.</w:t>
      </w:r>
      <w:r>
        <w:rPr>
          <w:rFonts w:hint="eastAsia" w:ascii="宋体" w:hAnsi="宋体"/>
          <w:spacing w:val="-6"/>
          <w:sz w:val="21"/>
          <w:szCs w:val="21"/>
        </w:rPr>
        <w:t>投标有效期自提交投标文件的截止之日起</w:t>
      </w:r>
      <w:r>
        <w:rPr>
          <w:rFonts w:hint="eastAsia" w:ascii="宋体" w:hAnsi="宋体"/>
          <w:bCs/>
          <w:spacing w:val="-6"/>
          <w:sz w:val="21"/>
          <w:szCs w:val="21"/>
          <w:u w:val="single"/>
        </w:rPr>
        <w:t xml:space="preserve"> 90</w:t>
      </w:r>
      <w:r>
        <w:rPr>
          <w:rFonts w:hint="eastAsia" w:ascii="宋体" w:hAnsi="宋体"/>
          <w:spacing w:val="-6"/>
          <w:sz w:val="21"/>
          <w:szCs w:val="21"/>
        </w:rPr>
        <w:t>天。</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4</w:t>
      </w:r>
      <w:r>
        <w:rPr>
          <w:rFonts w:ascii="宋体" w:hAnsi="宋体"/>
          <w:spacing w:val="-6"/>
          <w:sz w:val="21"/>
          <w:szCs w:val="21"/>
        </w:rPr>
        <w:t>.</w:t>
      </w:r>
      <w:r>
        <w:rPr>
          <w:rFonts w:hint="eastAsia" w:ascii="宋体" w:hAnsi="宋体"/>
          <w:spacing w:val="-6"/>
          <w:sz w:val="21"/>
          <w:szCs w:val="21"/>
        </w:rPr>
        <w:t>如中标，本投标文件至本项目合同履行完毕止均保持有效，我方将按“招标文件”及政府采购法律、法规的规定履行合同责任和义务。关于代理服务费，我方承诺按照招标文件的规定履行并承担相应的责任。</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5</w:t>
      </w:r>
      <w:r>
        <w:rPr>
          <w:rFonts w:ascii="宋体" w:hAnsi="宋体"/>
          <w:spacing w:val="-6"/>
          <w:sz w:val="21"/>
          <w:szCs w:val="21"/>
        </w:rPr>
        <w:t>.</w:t>
      </w:r>
      <w:r>
        <w:rPr>
          <w:rFonts w:hint="eastAsia" w:ascii="宋体" w:hAnsi="宋体"/>
          <w:spacing w:val="-6"/>
          <w:sz w:val="21"/>
          <w:szCs w:val="21"/>
        </w:rPr>
        <w:t>我方同意按照贵方要求提供与投标有关的一切数据或资料。</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6</w:t>
      </w:r>
      <w:r>
        <w:rPr>
          <w:rFonts w:ascii="宋体" w:hAnsi="宋体"/>
          <w:spacing w:val="-6"/>
          <w:sz w:val="21"/>
          <w:szCs w:val="21"/>
        </w:rPr>
        <w:t>.</w:t>
      </w:r>
      <w:r>
        <w:rPr>
          <w:rFonts w:hint="eastAsia" w:ascii="宋体" w:hAnsi="宋体"/>
          <w:spacing w:val="-6"/>
          <w:sz w:val="21"/>
          <w:szCs w:val="21"/>
        </w:rPr>
        <w:t>与本投标有关的一切正式往来信函联系：</w:t>
      </w:r>
    </w:p>
    <w:tbl>
      <w:tblPr>
        <w:tblStyle w:val="25"/>
        <w:tblW w:w="0" w:type="auto"/>
        <w:tblInd w:w="27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22"/>
        <w:gridCol w:w="68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2" w:type="dxa"/>
          </w:tcPr>
          <w:p>
            <w:pPr>
              <w:adjustRightInd w:val="0"/>
              <w:snapToGrid w:val="0"/>
              <w:spacing w:line="288" w:lineRule="auto"/>
              <w:rPr>
                <w:rFonts w:ascii="宋体" w:hAnsi="宋体"/>
                <w:spacing w:val="-6"/>
                <w:sz w:val="21"/>
                <w:szCs w:val="21"/>
              </w:rPr>
            </w:pPr>
            <w:r>
              <w:rPr>
                <w:rFonts w:hint="eastAsia" w:ascii="宋体" w:hAnsi="宋体"/>
                <w:spacing w:val="-6"/>
                <w:sz w:val="21"/>
                <w:szCs w:val="21"/>
              </w:rPr>
              <w:t>联系人：</w:t>
            </w:r>
          </w:p>
        </w:tc>
        <w:tc>
          <w:tcPr>
            <w:tcW w:w="6808" w:type="dxa"/>
          </w:tcPr>
          <w:p>
            <w:pPr>
              <w:adjustRightInd w:val="0"/>
              <w:snapToGrid w:val="0"/>
              <w:spacing w:line="288" w:lineRule="auto"/>
              <w:rPr>
                <w:rFonts w:ascii="宋体" w:hAnsi="宋体"/>
                <w:spacing w:val="-6"/>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2" w:type="dxa"/>
          </w:tcPr>
          <w:p>
            <w:pPr>
              <w:adjustRightInd w:val="0"/>
              <w:snapToGrid w:val="0"/>
              <w:spacing w:line="288" w:lineRule="auto"/>
              <w:rPr>
                <w:rFonts w:ascii="宋体" w:hAnsi="宋体"/>
                <w:spacing w:val="-6"/>
                <w:sz w:val="21"/>
                <w:szCs w:val="21"/>
              </w:rPr>
            </w:pPr>
            <w:r>
              <w:rPr>
                <w:rFonts w:hint="eastAsia" w:ascii="宋体" w:hAnsi="宋体"/>
                <w:spacing w:val="-6"/>
                <w:sz w:val="21"/>
                <w:szCs w:val="21"/>
              </w:rPr>
              <w:t>职务：</w:t>
            </w:r>
          </w:p>
        </w:tc>
        <w:tc>
          <w:tcPr>
            <w:tcW w:w="6808" w:type="dxa"/>
          </w:tcPr>
          <w:p>
            <w:pPr>
              <w:adjustRightInd w:val="0"/>
              <w:snapToGrid w:val="0"/>
              <w:spacing w:line="288" w:lineRule="auto"/>
              <w:rPr>
                <w:rFonts w:ascii="宋体" w:hAnsi="宋体"/>
                <w:spacing w:val="-6"/>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2" w:type="dxa"/>
          </w:tcPr>
          <w:p>
            <w:pPr>
              <w:adjustRightInd w:val="0"/>
              <w:snapToGrid w:val="0"/>
              <w:spacing w:line="288" w:lineRule="auto"/>
              <w:rPr>
                <w:rFonts w:ascii="宋体" w:hAnsi="宋体"/>
                <w:spacing w:val="-6"/>
                <w:sz w:val="21"/>
                <w:szCs w:val="21"/>
              </w:rPr>
            </w:pPr>
            <w:r>
              <w:rPr>
                <w:rFonts w:hint="eastAsia" w:ascii="宋体" w:hAnsi="宋体"/>
                <w:spacing w:val="-6"/>
                <w:sz w:val="21"/>
                <w:szCs w:val="21"/>
              </w:rPr>
              <w:t>手机：</w:t>
            </w:r>
          </w:p>
        </w:tc>
        <w:tc>
          <w:tcPr>
            <w:tcW w:w="6808" w:type="dxa"/>
          </w:tcPr>
          <w:p>
            <w:pPr>
              <w:adjustRightInd w:val="0"/>
              <w:snapToGrid w:val="0"/>
              <w:spacing w:line="288" w:lineRule="auto"/>
              <w:rPr>
                <w:rFonts w:ascii="宋体" w:hAnsi="宋体"/>
                <w:spacing w:val="-6"/>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2" w:type="dxa"/>
          </w:tcPr>
          <w:p>
            <w:pPr>
              <w:adjustRightInd w:val="0"/>
              <w:snapToGrid w:val="0"/>
              <w:spacing w:line="288" w:lineRule="auto"/>
              <w:rPr>
                <w:rFonts w:ascii="宋体" w:hAnsi="宋体"/>
                <w:spacing w:val="-6"/>
                <w:sz w:val="21"/>
                <w:szCs w:val="21"/>
              </w:rPr>
            </w:pPr>
            <w:r>
              <w:rPr>
                <w:rFonts w:hint="eastAsia" w:ascii="宋体" w:hAnsi="宋体"/>
                <w:spacing w:val="-6"/>
                <w:sz w:val="21"/>
                <w:szCs w:val="21"/>
              </w:rPr>
              <w:t>电子邮箱：</w:t>
            </w:r>
          </w:p>
        </w:tc>
        <w:tc>
          <w:tcPr>
            <w:tcW w:w="6808" w:type="dxa"/>
          </w:tcPr>
          <w:p>
            <w:pPr>
              <w:adjustRightInd w:val="0"/>
              <w:snapToGrid w:val="0"/>
              <w:spacing w:line="288" w:lineRule="auto"/>
              <w:rPr>
                <w:rFonts w:ascii="宋体" w:hAnsi="宋体"/>
                <w:spacing w:val="-6"/>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2" w:type="dxa"/>
          </w:tcPr>
          <w:p>
            <w:pPr>
              <w:adjustRightInd w:val="0"/>
              <w:snapToGrid w:val="0"/>
              <w:spacing w:line="288" w:lineRule="auto"/>
              <w:rPr>
                <w:rFonts w:ascii="宋体" w:hAnsi="宋体"/>
                <w:spacing w:val="-6"/>
                <w:sz w:val="21"/>
                <w:szCs w:val="21"/>
              </w:rPr>
            </w:pPr>
            <w:r>
              <w:rPr>
                <w:rFonts w:hint="eastAsia" w:ascii="宋体" w:hAnsi="宋体"/>
                <w:spacing w:val="-6"/>
                <w:sz w:val="21"/>
                <w:szCs w:val="21"/>
              </w:rPr>
              <w:t>地址：</w:t>
            </w:r>
          </w:p>
        </w:tc>
        <w:tc>
          <w:tcPr>
            <w:tcW w:w="6808" w:type="dxa"/>
          </w:tcPr>
          <w:p>
            <w:pPr>
              <w:adjustRightInd w:val="0"/>
              <w:snapToGrid w:val="0"/>
              <w:spacing w:line="288" w:lineRule="auto"/>
              <w:rPr>
                <w:rFonts w:ascii="宋体" w:hAnsi="宋体"/>
                <w:spacing w:val="-6"/>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2" w:type="dxa"/>
          </w:tcPr>
          <w:p>
            <w:pPr>
              <w:adjustRightInd w:val="0"/>
              <w:snapToGrid w:val="0"/>
              <w:spacing w:line="288" w:lineRule="auto"/>
              <w:rPr>
                <w:rFonts w:ascii="宋体" w:hAnsi="宋体"/>
                <w:spacing w:val="-6"/>
                <w:sz w:val="21"/>
                <w:szCs w:val="21"/>
              </w:rPr>
            </w:pPr>
            <w:r>
              <w:rPr>
                <w:rFonts w:hint="eastAsia" w:ascii="宋体" w:hAnsi="宋体"/>
                <w:spacing w:val="-6"/>
                <w:sz w:val="21"/>
                <w:szCs w:val="21"/>
              </w:rPr>
              <w:t>开户银行：</w:t>
            </w:r>
          </w:p>
        </w:tc>
        <w:tc>
          <w:tcPr>
            <w:tcW w:w="6808" w:type="dxa"/>
          </w:tcPr>
          <w:p>
            <w:pPr>
              <w:adjustRightInd w:val="0"/>
              <w:snapToGrid w:val="0"/>
              <w:spacing w:line="288" w:lineRule="auto"/>
              <w:rPr>
                <w:rFonts w:ascii="宋体" w:hAnsi="宋体"/>
                <w:spacing w:val="-6"/>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2" w:type="dxa"/>
          </w:tcPr>
          <w:p>
            <w:pPr>
              <w:adjustRightInd w:val="0"/>
              <w:snapToGrid w:val="0"/>
              <w:spacing w:line="288" w:lineRule="auto"/>
              <w:rPr>
                <w:rFonts w:ascii="宋体" w:hAnsi="宋体"/>
                <w:spacing w:val="-6"/>
                <w:sz w:val="21"/>
                <w:szCs w:val="21"/>
              </w:rPr>
            </w:pPr>
            <w:r>
              <w:rPr>
                <w:rFonts w:hint="eastAsia" w:ascii="宋体" w:hAnsi="宋体"/>
                <w:spacing w:val="-6"/>
                <w:sz w:val="21"/>
                <w:szCs w:val="21"/>
              </w:rPr>
              <w:t>银行账号：</w:t>
            </w:r>
          </w:p>
        </w:tc>
        <w:tc>
          <w:tcPr>
            <w:tcW w:w="6808" w:type="dxa"/>
          </w:tcPr>
          <w:p>
            <w:pPr>
              <w:adjustRightInd w:val="0"/>
              <w:snapToGrid w:val="0"/>
              <w:spacing w:line="288" w:lineRule="auto"/>
              <w:rPr>
                <w:rFonts w:ascii="宋体" w:hAnsi="宋体"/>
                <w:spacing w:val="-6"/>
                <w:sz w:val="21"/>
                <w:szCs w:val="21"/>
              </w:rPr>
            </w:pPr>
          </w:p>
        </w:tc>
      </w:tr>
    </w:tbl>
    <w:p>
      <w:pPr>
        <w:adjustRightInd w:val="0"/>
        <w:snapToGrid w:val="0"/>
        <w:spacing w:line="288" w:lineRule="auto"/>
        <w:rPr>
          <w:rFonts w:ascii="宋体" w:hAnsi="宋体"/>
          <w:spacing w:val="-6"/>
          <w:sz w:val="21"/>
          <w:szCs w:val="21"/>
        </w:rPr>
      </w:pPr>
    </w:p>
    <w:p>
      <w:pPr>
        <w:adjustRightInd w:val="0"/>
        <w:snapToGrid w:val="0"/>
        <w:spacing w:line="288" w:lineRule="auto"/>
        <w:rPr>
          <w:rFonts w:ascii="宋体" w:hAnsi="宋体"/>
          <w:spacing w:val="-6"/>
          <w:sz w:val="21"/>
          <w:szCs w:val="21"/>
        </w:rPr>
      </w:pPr>
    </w:p>
    <w:p>
      <w:pPr>
        <w:adjustRightInd w:val="0"/>
        <w:snapToGrid w:val="0"/>
        <w:spacing w:line="288" w:lineRule="auto"/>
        <w:rPr>
          <w:rFonts w:ascii="宋体" w:hAnsi="宋体"/>
          <w:b/>
          <w:bCs/>
          <w:spacing w:val="-6"/>
          <w:sz w:val="21"/>
          <w:szCs w:val="21"/>
        </w:rPr>
      </w:pPr>
      <w:r>
        <w:rPr>
          <w:rFonts w:hint="eastAsia" w:ascii="宋体" w:hAnsi="宋体"/>
          <w:b/>
          <w:bCs/>
          <w:spacing w:val="-6"/>
          <w:sz w:val="21"/>
          <w:szCs w:val="21"/>
        </w:rPr>
        <w:t>投标人名称（盖章）：</w:t>
      </w:r>
    </w:p>
    <w:p>
      <w:pPr>
        <w:adjustRightInd w:val="0"/>
        <w:snapToGrid w:val="0"/>
        <w:spacing w:line="288" w:lineRule="auto"/>
        <w:rPr>
          <w:rFonts w:ascii="宋体" w:hAnsi="宋体"/>
          <w:b/>
          <w:bCs/>
          <w:spacing w:val="-6"/>
          <w:sz w:val="21"/>
          <w:szCs w:val="21"/>
        </w:rPr>
      </w:pPr>
      <w:r>
        <w:rPr>
          <w:rFonts w:hint="eastAsia" w:ascii="宋体" w:hAnsi="宋体"/>
          <w:b/>
          <w:bCs/>
          <w:spacing w:val="-6"/>
          <w:sz w:val="21"/>
          <w:szCs w:val="21"/>
        </w:rPr>
        <w:t>投标人代表签名：</w:t>
      </w:r>
    </w:p>
    <w:p>
      <w:pPr>
        <w:adjustRightInd w:val="0"/>
        <w:snapToGrid w:val="0"/>
        <w:spacing w:line="288" w:lineRule="auto"/>
        <w:rPr>
          <w:rFonts w:ascii="宋体" w:hAnsi="宋体"/>
          <w:b/>
          <w:bCs/>
          <w:spacing w:val="-6"/>
          <w:sz w:val="21"/>
          <w:szCs w:val="21"/>
        </w:rPr>
      </w:pPr>
      <w:r>
        <w:rPr>
          <w:rFonts w:hint="eastAsia" w:ascii="宋体" w:hAnsi="宋体"/>
          <w:b/>
          <w:bCs/>
          <w:spacing w:val="-6"/>
          <w:sz w:val="21"/>
          <w:szCs w:val="21"/>
        </w:rPr>
        <w:t>日期：     年   月   日</w:t>
      </w:r>
    </w:p>
    <w:p>
      <w:pPr>
        <w:adjustRightInd w:val="0"/>
        <w:snapToGrid w:val="0"/>
        <w:spacing w:line="288" w:lineRule="auto"/>
        <w:jc w:val="center"/>
        <w:outlineLvl w:val="1"/>
        <w:rPr>
          <w:rFonts w:ascii="宋体" w:hAnsi="宋体"/>
          <w:b/>
          <w:spacing w:val="-6"/>
          <w:sz w:val="21"/>
          <w:szCs w:val="21"/>
        </w:rPr>
      </w:pPr>
      <w:r>
        <w:rPr>
          <w:rFonts w:ascii="宋体" w:hAnsi="宋体"/>
          <w:b/>
          <w:spacing w:val="-6"/>
          <w:sz w:val="21"/>
          <w:szCs w:val="21"/>
        </w:rPr>
        <w:br w:type="page"/>
      </w:r>
    </w:p>
    <w:p>
      <w:pPr>
        <w:adjustRightInd w:val="0"/>
        <w:snapToGrid w:val="0"/>
        <w:spacing w:line="288" w:lineRule="auto"/>
        <w:ind w:firstLine="498" w:firstLineChars="236"/>
        <w:jc w:val="center"/>
        <w:outlineLvl w:val="2"/>
        <w:rPr>
          <w:rFonts w:ascii="宋体" w:hAnsi="宋体"/>
          <w:b/>
          <w:bCs/>
          <w:sz w:val="21"/>
          <w:szCs w:val="21"/>
        </w:rPr>
      </w:pPr>
      <w:r>
        <w:rPr>
          <w:rFonts w:hint="eastAsia" w:ascii="宋体" w:hAnsi="宋体"/>
          <w:b/>
          <w:bCs/>
          <w:sz w:val="21"/>
          <w:szCs w:val="21"/>
        </w:rPr>
        <w:t>（</w:t>
      </w:r>
      <w:r>
        <w:rPr>
          <w:rFonts w:ascii="宋体" w:hAnsi="宋体"/>
          <w:b/>
          <w:bCs/>
          <w:sz w:val="21"/>
          <w:szCs w:val="21"/>
        </w:rPr>
        <w:t>2</w:t>
      </w:r>
      <w:r>
        <w:rPr>
          <w:rFonts w:hint="eastAsia" w:ascii="宋体" w:hAnsi="宋体"/>
          <w:b/>
          <w:bCs/>
          <w:sz w:val="21"/>
          <w:szCs w:val="21"/>
        </w:rPr>
        <w:t>）授权委托书</w:t>
      </w:r>
    </w:p>
    <w:p>
      <w:pPr>
        <w:adjustRightInd w:val="0"/>
        <w:snapToGrid w:val="0"/>
        <w:spacing w:line="288" w:lineRule="auto"/>
        <w:rPr>
          <w:rFonts w:ascii="宋体" w:hAnsi="宋体"/>
          <w:b/>
          <w:bCs/>
          <w:spacing w:val="-6"/>
          <w:sz w:val="21"/>
          <w:szCs w:val="21"/>
        </w:rPr>
      </w:pPr>
    </w:p>
    <w:p>
      <w:pPr>
        <w:adjustRightInd w:val="0"/>
        <w:snapToGrid w:val="0"/>
        <w:spacing w:line="288" w:lineRule="auto"/>
        <w:rPr>
          <w:rFonts w:ascii="宋体" w:hAnsi="宋体"/>
          <w:b/>
          <w:spacing w:val="-6"/>
          <w:sz w:val="21"/>
          <w:szCs w:val="21"/>
        </w:rPr>
      </w:pPr>
      <w:r>
        <w:rPr>
          <w:rFonts w:hint="eastAsia" w:ascii="宋体" w:hAnsi="宋体"/>
          <w:b/>
          <w:spacing w:val="-6"/>
          <w:sz w:val="21"/>
          <w:szCs w:val="21"/>
        </w:rPr>
        <w:t>致：中国林业科学研究院亚热带林业研究所、浙江求是招标代理有限公司</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现授权委托：（授权代表姓名）（身份证号码：，手机：）以我方的名义参加</w:t>
      </w:r>
      <w:r>
        <w:rPr>
          <w:rFonts w:hint="eastAsia" w:ascii="宋体" w:hAnsi="宋体"/>
          <w:bCs/>
          <w:spacing w:val="-6"/>
          <w:sz w:val="21"/>
          <w:szCs w:val="21"/>
        </w:rPr>
        <w:t>中国林业科学研究院亚热带林业研究所安全保洁物业服务项目（项目编号：</w:t>
      </w:r>
      <w:r>
        <w:rPr>
          <w:rFonts w:hint="eastAsia" w:ascii="宋体" w:hAnsi="宋体"/>
          <w:bCs/>
          <w:spacing w:val="-6"/>
          <w:sz w:val="21"/>
          <w:szCs w:val="21"/>
          <w:lang w:eastAsia="zh-CN"/>
        </w:rPr>
        <w:t>QSZB-Z(F)-B24035(GK)</w:t>
      </w:r>
      <w:r>
        <w:rPr>
          <w:rFonts w:hint="eastAsia" w:ascii="宋体" w:hAnsi="宋体"/>
          <w:bCs/>
          <w:spacing w:val="-6"/>
          <w:sz w:val="21"/>
          <w:szCs w:val="21"/>
        </w:rPr>
        <w:t>）</w:t>
      </w:r>
      <w:r>
        <w:rPr>
          <w:rFonts w:hint="eastAsia" w:ascii="宋体" w:hAnsi="宋体"/>
          <w:spacing w:val="-6"/>
          <w:sz w:val="21"/>
          <w:szCs w:val="21"/>
        </w:rPr>
        <w:t>的投标活动，并代表我方全权办理针对上述项目的投标、开标、评标、签约等具体事务和签署相关文件。</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我方对被授权人的签名负全部责任。</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在撤销授权的书面通知以前，本授权书一直有效。被授权人在授权书有效期内签署的所有文件不因授权的撤销而失效。</w:t>
      </w:r>
    </w:p>
    <w:p>
      <w:pPr>
        <w:adjustRightInd w:val="0"/>
        <w:snapToGrid w:val="0"/>
        <w:spacing w:line="288" w:lineRule="auto"/>
        <w:ind w:firstLine="396" w:firstLineChars="200"/>
        <w:rPr>
          <w:rFonts w:ascii="宋体" w:hAnsi="宋体"/>
          <w:spacing w:val="-6"/>
          <w:sz w:val="21"/>
          <w:szCs w:val="21"/>
        </w:rPr>
      </w:pPr>
      <w:r>
        <w:rPr>
          <w:rFonts w:hint="eastAsia" w:ascii="宋体" w:hAnsi="宋体"/>
          <w:spacing w:val="-6"/>
          <w:sz w:val="21"/>
          <w:szCs w:val="21"/>
        </w:rPr>
        <w:t>被授权人无转委托权，特此告知。</w:t>
      </w:r>
    </w:p>
    <w:p>
      <w:pPr>
        <w:adjustRightInd w:val="0"/>
        <w:snapToGrid w:val="0"/>
        <w:spacing w:line="288" w:lineRule="auto"/>
        <w:ind w:firstLine="368" w:firstLineChars="186"/>
        <w:rPr>
          <w:rFonts w:ascii="宋体" w:hAnsi="宋体"/>
          <w:spacing w:val="-6"/>
          <w:sz w:val="21"/>
          <w:szCs w:val="21"/>
          <w:u w:val="single"/>
        </w:rPr>
      </w:pPr>
      <w:r>
        <w:rPr>
          <w:rFonts w:hint="eastAsia" w:ascii="宋体" w:hAnsi="宋体"/>
          <w:spacing w:val="-6"/>
          <w:sz w:val="21"/>
          <w:szCs w:val="21"/>
          <w:u w:val="single"/>
        </w:rPr>
        <w:t>▲提供授权代表社保缴纳证明（2023年7月（含）以后任意一月）。</w:t>
      </w:r>
    </w:p>
    <w:p>
      <w:pPr>
        <w:adjustRightInd w:val="0"/>
        <w:snapToGrid w:val="0"/>
        <w:spacing w:line="288" w:lineRule="auto"/>
        <w:ind w:firstLine="368" w:firstLineChars="186"/>
        <w:rPr>
          <w:rFonts w:ascii="宋体" w:hAnsi="宋体"/>
          <w:spacing w:val="-6"/>
          <w:sz w:val="21"/>
          <w:szCs w:val="21"/>
          <w:u w:val="single"/>
        </w:rPr>
      </w:pPr>
    </w:p>
    <w:p>
      <w:pPr>
        <w:adjustRightInd w:val="0"/>
        <w:snapToGrid w:val="0"/>
        <w:spacing w:line="288" w:lineRule="auto"/>
        <w:rPr>
          <w:rFonts w:ascii="宋体" w:hAnsi="宋体"/>
          <w:spacing w:val="-6"/>
          <w:sz w:val="21"/>
          <w:szCs w:val="21"/>
        </w:rPr>
      </w:pPr>
    </w:p>
    <w:p>
      <w:pPr>
        <w:adjustRightInd w:val="0"/>
        <w:snapToGrid w:val="0"/>
        <w:spacing w:line="288" w:lineRule="auto"/>
        <w:rPr>
          <w:rFonts w:ascii="宋体" w:hAnsi="宋体"/>
          <w:b/>
          <w:bCs/>
          <w:spacing w:val="-6"/>
          <w:sz w:val="21"/>
          <w:szCs w:val="21"/>
        </w:rPr>
      </w:pPr>
      <w:r>
        <w:rPr>
          <w:rFonts w:hint="eastAsia" w:ascii="宋体" w:hAnsi="宋体"/>
          <w:b/>
          <w:bCs/>
          <w:spacing w:val="-6"/>
          <w:sz w:val="21"/>
          <w:szCs w:val="21"/>
        </w:rPr>
        <w:t>投标人名称（盖章）：</w:t>
      </w:r>
    </w:p>
    <w:p>
      <w:pPr>
        <w:adjustRightInd w:val="0"/>
        <w:snapToGrid w:val="0"/>
        <w:spacing w:line="288" w:lineRule="auto"/>
        <w:rPr>
          <w:rFonts w:ascii="宋体" w:hAnsi="宋体"/>
          <w:b/>
          <w:bCs/>
          <w:spacing w:val="-6"/>
          <w:sz w:val="21"/>
          <w:szCs w:val="21"/>
        </w:rPr>
      </w:pPr>
      <w:r>
        <w:rPr>
          <w:rFonts w:hint="eastAsia" w:ascii="宋体" w:hAnsi="宋体"/>
          <w:b/>
          <w:bCs/>
          <w:spacing w:val="-6"/>
          <w:sz w:val="21"/>
          <w:szCs w:val="21"/>
        </w:rPr>
        <w:t>日期：     年   月   日</w:t>
      </w:r>
    </w:p>
    <w:p>
      <w:pPr>
        <w:adjustRightInd w:val="0"/>
        <w:snapToGrid w:val="0"/>
        <w:spacing w:line="288" w:lineRule="auto"/>
        <w:rPr>
          <w:rFonts w:ascii="宋体" w:hAnsi="宋体"/>
          <w:sz w:val="21"/>
          <w:szCs w:val="21"/>
        </w:rPr>
      </w:pPr>
    </w:p>
    <w:p>
      <w:pPr>
        <w:adjustRightInd w:val="0"/>
        <w:snapToGrid w:val="0"/>
        <w:spacing w:line="288" w:lineRule="auto"/>
        <w:rPr>
          <w:rFonts w:ascii="宋体" w:hAnsi="宋体"/>
          <w:sz w:val="21"/>
          <w:szCs w:val="21"/>
        </w:rPr>
      </w:pPr>
      <w:r>
        <w:rPr>
          <w:rFonts w:hint="eastAsia" w:ascii="宋体" w:hAnsi="宋体"/>
          <w:sz w:val="21"/>
          <w:szCs w:val="21"/>
        </w:rPr>
        <w:t>注：</w:t>
      </w:r>
    </w:p>
    <w:p>
      <w:pPr>
        <w:adjustRightInd w:val="0"/>
        <w:snapToGrid w:val="0"/>
        <w:spacing w:line="288" w:lineRule="auto"/>
        <w:rPr>
          <w:rFonts w:ascii="宋体" w:hAnsi="宋体"/>
          <w:sz w:val="21"/>
          <w:szCs w:val="21"/>
        </w:rPr>
      </w:pPr>
      <w:r>
        <w:rPr>
          <w:rFonts w:hint="eastAsia" w:ascii="宋体" w:hAnsi="宋体"/>
          <w:sz w:val="21"/>
          <w:szCs w:val="21"/>
        </w:rPr>
        <w:t>1、投标人委派不在本单位缴纳社保的人员作为授权代表的，应当在投标文件中，说明具体原因、授权代表缴纳社保的单位，并附列该授权代表缴纳社保清单。</w:t>
      </w:r>
    </w:p>
    <w:p>
      <w:pPr>
        <w:adjustRightInd w:val="0"/>
        <w:snapToGrid w:val="0"/>
        <w:spacing w:line="288" w:lineRule="auto"/>
        <w:rPr>
          <w:rFonts w:ascii="宋体" w:hAnsi="宋体"/>
          <w:sz w:val="21"/>
          <w:szCs w:val="21"/>
        </w:rPr>
      </w:pPr>
      <w:r>
        <w:rPr>
          <w:rFonts w:hint="eastAsia" w:ascii="宋体" w:hAnsi="宋体"/>
          <w:sz w:val="21"/>
          <w:szCs w:val="21"/>
        </w:rPr>
        <w:t>2、投标人是联合体的，联合体各成员均应在“授权委托书”上盖章。</w:t>
      </w:r>
    </w:p>
    <w:p>
      <w:pPr>
        <w:adjustRightInd w:val="0"/>
        <w:snapToGrid w:val="0"/>
        <w:spacing w:line="288" w:lineRule="auto"/>
        <w:rPr>
          <w:rFonts w:ascii="宋体" w:hAnsi="宋体"/>
          <w:sz w:val="21"/>
          <w:szCs w:val="21"/>
        </w:rPr>
      </w:pPr>
    </w:p>
    <w:p>
      <w:pPr>
        <w:adjustRightInd w:val="0"/>
        <w:snapToGrid w:val="0"/>
        <w:spacing w:line="288" w:lineRule="auto"/>
        <w:rPr>
          <w:rFonts w:ascii="宋体" w:hAnsi="宋体"/>
          <w:sz w:val="21"/>
          <w:szCs w:val="21"/>
        </w:rPr>
      </w:pPr>
    </w:p>
    <w:p>
      <w:pPr>
        <w:adjustRightInd w:val="0"/>
        <w:snapToGrid w:val="0"/>
        <w:spacing w:line="288" w:lineRule="auto"/>
        <w:jc w:val="center"/>
        <w:outlineLvl w:val="2"/>
        <w:rPr>
          <w:rFonts w:ascii="宋体" w:hAnsi="宋体"/>
          <w:b/>
          <w:bCs/>
          <w:spacing w:val="-6"/>
          <w:sz w:val="21"/>
          <w:szCs w:val="21"/>
        </w:rPr>
      </w:pPr>
      <w:r>
        <w:rPr>
          <w:rFonts w:hint="eastAsia" w:ascii="宋体" w:hAnsi="宋体"/>
          <w:b/>
          <w:bCs/>
          <w:sz w:val="21"/>
          <w:szCs w:val="21"/>
        </w:rPr>
        <w:t>（2）法定代表人（单位负责人、自然人本人）</w:t>
      </w:r>
      <w:r>
        <w:rPr>
          <w:rFonts w:hint="eastAsia" w:ascii="宋体" w:hAnsi="宋体"/>
          <w:b/>
          <w:bCs/>
          <w:spacing w:val="-6"/>
          <w:sz w:val="21"/>
          <w:szCs w:val="21"/>
        </w:rPr>
        <w:t>身份证明</w:t>
      </w:r>
    </w:p>
    <w:p>
      <w:pPr>
        <w:adjustRightInd w:val="0"/>
        <w:snapToGrid w:val="0"/>
        <w:spacing w:line="288" w:lineRule="auto"/>
        <w:ind w:firstLine="495" w:firstLineChars="236"/>
        <w:jc w:val="center"/>
        <w:rPr>
          <w:rFonts w:ascii="宋体" w:hAnsi="宋体"/>
          <w:sz w:val="21"/>
          <w:szCs w:val="21"/>
        </w:rPr>
      </w:pPr>
      <w:r>
        <w:rPr>
          <w:rFonts w:hint="eastAsia" w:ascii="宋体" w:hAnsi="宋体"/>
          <w:sz w:val="21"/>
          <w:szCs w:val="21"/>
        </w:rPr>
        <w:t>（适用于：法定代表人（单位负责人、自然人本人）</w:t>
      </w:r>
      <w:r>
        <w:rPr>
          <w:rFonts w:hint="eastAsia" w:ascii="宋体" w:hAnsi="宋体"/>
          <w:spacing w:val="-6"/>
          <w:sz w:val="21"/>
          <w:szCs w:val="21"/>
        </w:rPr>
        <w:t>代表投标人参加投标</w:t>
      </w:r>
      <w:r>
        <w:rPr>
          <w:rFonts w:hint="eastAsia" w:ascii="宋体" w:hAnsi="宋体"/>
          <w:sz w:val="21"/>
          <w:szCs w:val="21"/>
        </w:rPr>
        <w:t>）</w:t>
      </w:r>
    </w:p>
    <w:p>
      <w:pPr>
        <w:adjustRightInd w:val="0"/>
        <w:snapToGrid w:val="0"/>
        <w:spacing w:line="288" w:lineRule="auto"/>
        <w:jc w:val="left"/>
        <w:rPr>
          <w:rFonts w:ascii="宋体" w:hAnsi="宋体"/>
          <w:sz w:val="21"/>
          <w:szCs w:val="21"/>
        </w:rPr>
      </w:pPr>
      <w:r>
        <w:rPr>
          <w:rFonts w:hint="eastAsia" w:ascii="宋体" w:hAnsi="宋体" w:cs="宋体"/>
          <w:bCs/>
          <w:sz w:val="21"/>
          <w:szCs w:val="21"/>
        </w:rPr>
        <w:t>身份证件复印件</w:t>
      </w:r>
    </w:p>
    <w:tbl>
      <w:tblPr>
        <w:tblStyle w:val="7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814"/>
        <w:gridCol w:w="48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9" w:hRule="atLeast"/>
        </w:trPr>
        <w:tc>
          <w:tcPr>
            <w:tcW w:w="4951" w:type="dxa"/>
          </w:tcPr>
          <w:p>
            <w:pPr>
              <w:adjustRightInd w:val="0"/>
              <w:snapToGrid w:val="0"/>
              <w:spacing w:line="288" w:lineRule="auto"/>
              <w:rPr>
                <w:rFonts w:ascii="宋体" w:hAnsi="宋体" w:eastAsia="等线" w:cs="宋体"/>
                <w:bCs/>
                <w:sz w:val="21"/>
                <w:szCs w:val="21"/>
              </w:rPr>
            </w:pPr>
            <w:r>
              <w:rPr>
                <w:rFonts w:hint="eastAsia" w:ascii="宋体" w:hAnsi="宋体" w:eastAsia="等线" w:cs="宋体"/>
                <w:bCs/>
                <w:sz w:val="21"/>
                <w:szCs w:val="21"/>
              </w:rPr>
              <w:t>正面：</w:t>
            </w:r>
          </w:p>
        </w:tc>
        <w:tc>
          <w:tcPr>
            <w:tcW w:w="4951" w:type="dxa"/>
          </w:tcPr>
          <w:p>
            <w:pPr>
              <w:adjustRightInd w:val="0"/>
              <w:snapToGrid w:val="0"/>
              <w:spacing w:line="288" w:lineRule="auto"/>
              <w:rPr>
                <w:rFonts w:ascii="宋体" w:hAnsi="宋体" w:eastAsia="等线" w:cs="宋体"/>
                <w:bCs/>
                <w:sz w:val="21"/>
                <w:szCs w:val="21"/>
              </w:rPr>
            </w:pPr>
            <w:r>
              <w:rPr>
                <w:rFonts w:hint="eastAsia" w:ascii="宋体" w:hAnsi="宋体" w:eastAsia="等线" w:cs="宋体"/>
                <w:bCs/>
                <w:sz w:val="21"/>
                <w:szCs w:val="21"/>
              </w:rPr>
              <w:t>反面：</w:t>
            </w:r>
          </w:p>
        </w:tc>
      </w:tr>
    </w:tbl>
    <w:p>
      <w:pPr>
        <w:adjustRightInd w:val="0"/>
        <w:snapToGrid w:val="0"/>
        <w:spacing w:line="288" w:lineRule="auto"/>
        <w:rPr>
          <w:rFonts w:ascii="宋体" w:hAnsi="宋体"/>
          <w:sz w:val="21"/>
          <w:szCs w:val="21"/>
        </w:rPr>
      </w:pPr>
    </w:p>
    <w:p>
      <w:pPr>
        <w:widowControl/>
        <w:adjustRightInd w:val="0"/>
        <w:snapToGrid w:val="0"/>
        <w:spacing w:line="288" w:lineRule="auto"/>
        <w:jc w:val="left"/>
        <w:rPr>
          <w:rFonts w:ascii="宋体" w:hAnsi="宋体"/>
          <w:sz w:val="21"/>
          <w:szCs w:val="21"/>
        </w:rPr>
      </w:pPr>
      <w:r>
        <w:rPr>
          <w:rFonts w:ascii="宋体" w:hAnsi="宋体"/>
          <w:sz w:val="21"/>
          <w:szCs w:val="21"/>
        </w:rPr>
        <w:br w:type="page"/>
      </w:r>
    </w:p>
    <w:p>
      <w:pPr>
        <w:adjustRightInd w:val="0"/>
        <w:snapToGrid w:val="0"/>
        <w:spacing w:line="288" w:lineRule="auto"/>
        <w:ind w:firstLine="498" w:firstLineChars="236"/>
        <w:jc w:val="left"/>
        <w:outlineLvl w:val="2"/>
        <w:rPr>
          <w:rFonts w:ascii="宋体" w:hAnsi="宋体"/>
          <w:b/>
          <w:bCs/>
          <w:sz w:val="21"/>
          <w:szCs w:val="21"/>
        </w:rPr>
      </w:pPr>
      <w:r>
        <w:rPr>
          <w:rFonts w:hint="eastAsia" w:ascii="宋体" w:hAnsi="宋体"/>
          <w:b/>
          <w:bCs/>
          <w:sz w:val="21"/>
          <w:szCs w:val="21"/>
        </w:rPr>
        <w:t>附：授权代表社保缴纳证明（2023年7月（含）以后任意一月）</w:t>
      </w:r>
    </w:p>
    <w:p>
      <w:pPr>
        <w:adjustRightInd w:val="0"/>
        <w:snapToGrid w:val="0"/>
        <w:spacing w:line="288" w:lineRule="auto"/>
        <w:jc w:val="center"/>
        <w:rPr>
          <w:rFonts w:ascii="宋体" w:hAnsi="宋体"/>
          <w:b/>
          <w:spacing w:val="-6"/>
          <w:sz w:val="21"/>
          <w:szCs w:val="21"/>
        </w:rPr>
      </w:pPr>
      <w:r>
        <w:rPr>
          <w:rFonts w:ascii="宋体" w:hAnsi="宋体"/>
          <w:b/>
          <w:spacing w:val="-6"/>
          <w:sz w:val="21"/>
          <w:szCs w:val="21"/>
        </w:rPr>
        <w:br w:type="page"/>
      </w:r>
    </w:p>
    <w:p>
      <w:pPr>
        <w:adjustRightInd w:val="0"/>
        <w:snapToGrid w:val="0"/>
        <w:spacing w:line="288" w:lineRule="auto"/>
        <w:ind w:firstLine="498" w:firstLineChars="236"/>
        <w:jc w:val="center"/>
        <w:outlineLvl w:val="2"/>
        <w:rPr>
          <w:rFonts w:ascii="宋体" w:hAnsi="宋体"/>
          <w:b/>
          <w:bCs/>
          <w:sz w:val="21"/>
          <w:szCs w:val="21"/>
        </w:rPr>
      </w:pPr>
      <w:r>
        <w:rPr>
          <w:rFonts w:hint="eastAsia" w:ascii="宋体" w:hAnsi="宋体"/>
          <w:b/>
          <w:bCs/>
          <w:sz w:val="21"/>
          <w:szCs w:val="21"/>
        </w:rPr>
        <w:t>（</w:t>
      </w:r>
      <w:r>
        <w:rPr>
          <w:rFonts w:ascii="宋体" w:hAnsi="宋体"/>
          <w:b/>
          <w:bCs/>
          <w:sz w:val="21"/>
          <w:szCs w:val="21"/>
        </w:rPr>
        <w:t>3</w:t>
      </w:r>
      <w:r>
        <w:rPr>
          <w:rFonts w:hint="eastAsia" w:ascii="宋体" w:hAnsi="宋体"/>
          <w:b/>
          <w:bCs/>
          <w:sz w:val="21"/>
          <w:szCs w:val="21"/>
        </w:rPr>
        <w:t>）投标人同类合同一览表</w:t>
      </w:r>
    </w:p>
    <w:p>
      <w:pPr>
        <w:pStyle w:val="20"/>
        <w:adjustRightInd w:val="0"/>
        <w:snapToGrid w:val="0"/>
        <w:spacing w:line="288" w:lineRule="auto"/>
        <w:ind w:left="420" w:hanging="420"/>
        <w:rPr>
          <w:rFonts w:ascii="宋体" w:hAnsi="宋体"/>
          <w:sz w:val="21"/>
          <w:szCs w:val="21"/>
        </w:rPr>
      </w:pPr>
      <w:r>
        <w:rPr>
          <w:rFonts w:ascii="宋体" w:hAnsi="宋体"/>
          <w:sz w:val="21"/>
          <w:szCs w:val="21"/>
        </w:rPr>
        <w:t>标项：</w:t>
      </w:r>
    </w:p>
    <w:tbl>
      <w:tblPr>
        <w:tblStyle w:val="24"/>
        <w:tblW w:w="9498" w:type="dxa"/>
        <w:tblInd w:w="108"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1"/>
        <w:gridCol w:w="1134"/>
        <w:gridCol w:w="1443"/>
        <w:gridCol w:w="684"/>
        <w:gridCol w:w="1155"/>
        <w:gridCol w:w="830"/>
        <w:gridCol w:w="1558"/>
        <w:gridCol w:w="1843"/>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5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b/>
                <w:sz w:val="21"/>
                <w:szCs w:val="21"/>
              </w:rPr>
            </w:pPr>
            <w:r>
              <w:rPr>
                <w:rFonts w:ascii="宋体" w:hAnsi="宋体"/>
                <w:b/>
                <w:sz w:val="21"/>
                <w:szCs w:val="21"/>
              </w:rPr>
              <w:t>序号</w:t>
            </w:r>
          </w:p>
        </w:tc>
        <w:tc>
          <w:tcPr>
            <w:tcW w:w="1134"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b/>
                <w:sz w:val="21"/>
                <w:szCs w:val="21"/>
              </w:rPr>
            </w:pPr>
            <w:r>
              <w:rPr>
                <w:rFonts w:hint="eastAsia" w:ascii="宋体" w:hAnsi="宋体"/>
                <w:b/>
                <w:sz w:val="21"/>
                <w:szCs w:val="21"/>
              </w:rPr>
              <w:t>采购人</w:t>
            </w:r>
          </w:p>
        </w:tc>
        <w:tc>
          <w:tcPr>
            <w:tcW w:w="144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b/>
                <w:sz w:val="21"/>
                <w:szCs w:val="21"/>
              </w:rPr>
            </w:pPr>
            <w:r>
              <w:rPr>
                <w:rFonts w:hint="eastAsia" w:ascii="宋体" w:hAnsi="宋体"/>
                <w:b/>
                <w:sz w:val="21"/>
                <w:szCs w:val="21"/>
              </w:rPr>
              <w:t>项目名称</w:t>
            </w:r>
          </w:p>
        </w:tc>
        <w:tc>
          <w:tcPr>
            <w:tcW w:w="684"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b/>
                <w:sz w:val="21"/>
                <w:szCs w:val="21"/>
              </w:rPr>
            </w:pPr>
            <w:r>
              <w:rPr>
                <w:rFonts w:hint="eastAsia" w:ascii="宋体" w:hAnsi="宋体"/>
                <w:b/>
                <w:sz w:val="21"/>
                <w:szCs w:val="21"/>
              </w:rPr>
              <w:t>数量</w:t>
            </w:r>
          </w:p>
        </w:tc>
        <w:tc>
          <w:tcPr>
            <w:tcW w:w="115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b/>
                <w:sz w:val="21"/>
                <w:szCs w:val="21"/>
              </w:rPr>
            </w:pPr>
            <w:r>
              <w:rPr>
                <w:rFonts w:hint="eastAsia" w:ascii="宋体" w:hAnsi="宋体"/>
                <w:b/>
                <w:sz w:val="21"/>
                <w:szCs w:val="21"/>
              </w:rPr>
              <w:t>合同金额</w:t>
            </w:r>
          </w:p>
          <w:p>
            <w:pPr>
              <w:adjustRightInd w:val="0"/>
              <w:snapToGrid w:val="0"/>
              <w:spacing w:line="288" w:lineRule="auto"/>
              <w:jc w:val="center"/>
              <w:rPr>
                <w:rFonts w:ascii="宋体" w:hAnsi="宋体"/>
                <w:b/>
                <w:sz w:val="21"/>
                <w:szCs w:val="21"/>
              </w:rPr>
            </w:pPr>
            <w:r>
              <w:rPr>
                <w:rFonts w:hint="eastAsia" w:ascii="宋体" w:hAnsi="宋体"/>
                <w:b/>
                <w:sz w:val="21"/>
                <w:szCs w:val="21"/>
              </w:rPr>
              <w:t>（万元）</w:t>
            </w:r>
          </w:p>
        </w:tc>
        <w:tc>
          <w:tcPr>
            <w:tcW w:w="83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b/>
                <w:sz w:val="21"/>
                <w:szCs w:val="21"/>
              </w:rPr>
            </w:pPr>
            <w:r>
              <w:rPr>
                <w:rFonts w:hint="eastAsia" w:ascii="宋体" w:hAnsi="宋体"/>
                <w:b/>
                <w:sz w:val="21"/>
                <w:szCs w:val="21"/>
              </w:rPr>
              <w:t>附件页码</w:t>
            </w:r>
          </w:p>
        </w:tc>
        <w:tc>
          <w:tcPr>
            <w:tcW w:w="155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b/>
                <w:sz w:val="21"/>
                <w:szCs w:val="21"/>
              </w:rPr>
            </w:pPr>
            <w:r>
              <w:rPr>
                <w:rFonts w:hint="eastAsia" w:ascii="宋体" w:hAnsi="宋体"/>
                <w:b/>
                <w:sz w:val="21"/>
                <w:szCs w:val="21"/>
              </w:rPr>
              <w:t>合同签订时间</w:t>
            </w:r>
          </w:p>
        </w:tc>
        <w:tc>
          <w:tcPr>
            <w:tcW w:w="184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b/>
                <w:sz w:val="21"/>
                <w:szCs w:val="21"/>
              </w:rPr>
            </w:pPr>
            <w:r>
              <w:rPr>
                <w:rFonts w:hint="eastAsia" w:ascii="宋体" w:hAnsi="宋体"/>
                <w:b/>
                <w:sz w:val="21"/>
                <w:szCs w:val="21"/>
              </w:rPr>
              <w:t>采购人联系人</w:t>
            </w:r>
          </w:p>
          <w:p>
            <w:pPr>
              <w:adjustRightInd w:val="0"/>
              <w:snapToGrid w:val="0"/>
              <w:spacing w:line="288" w:lineRule="auto"/>
              <w:jc w:val="center"/>
              <w:rPr>
                <w:rFonts w:ascii="宋体" w:hAnsi="宋体"/>
                <w:b/>
                <w:sz w:val="21"/>
                <w:szCs w:val="21"/>
              </w:rPr>
            </w:pPr>
            <w:r>
              <w:rPr>
                <w:rFonts w:hint="eastAsia" w:ascii="宋体" w:hAnsi="宋体"/>
                <w:b/>
                <w:sz w:val="21"/>
                <w:szCs w:val="21"/>
              </w:rPr>
              <w:t>联系方式</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5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144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684"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115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83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155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184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5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144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684"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115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83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155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184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5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144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684"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115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83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155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184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5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144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684"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115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83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155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184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5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144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684"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115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83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155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c>
          <w:tcPr>
            <w:tcW w:w="184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8" w:lineRule="auto"/>
              <w:jc w:val="center"/>
              <w:rPr>
                <w:rFonts w:ascii="宋体" w:hAnsi="宋体"/>
                <w:sz w:val="21"/>
                <w:szCs w:val="21"/>
              </w:rPr>
            </w:pPr>
          </w:p>
        </w:tc>
      </w:tr>
    </w:tbl>
    <w:p>
      <w:pPr>
        <w:pStyle w:val="20"/>
        <w:adjustRightInd w:val="0"/>
        <w:snapToGrid w:val="0"/>
        <w:spacing w:line="288" w:lineRule="auto"/>
        <w:ind w:left="420" w:hanging="420"/>
        <w:rPr>
          <w:rFonts w:ascii="宋体" w:hAnsi="宋体"/>
          <w:sz w:val="21"/>
          <w:szCs w:val="21"/>
        </w:rPr>
      </w:pPr>
    </w:p>
    <w:p>
      <w:pPr>
        <w:adjustRightInd w:val="0"/>
        <w:snapToGrid w:val="0"/>
        <w:spacing w:line="288" w:lineRule="auto"/>
        <w:rPr>
          <w:rFonts w:ascii="宋体" w:hAnsi="宋体"/>
          <w:b/>
          <w:spacing w:val="-6"/>
          <w:sz w:val="21"/>
          <w:szCs w:val="21"/>
        </w:rPr>
      </w:pPr>
      <w:r>
        <w:rPr>
          <w:rFonts w:hint="eastAsia" w:ascii="宋体" w:hAnsi="宋体"/>
          <w:b/>
          <w:spacing w:val="-6"/>
          <w:sz w:val="21"/>
          <w:szCs w:val="21"/>
        </w:rPr>
        <w:t>说明：</w:t>
      </w:r>
    </w:p>
    <w:p>
      <w:pPr>
        <w:adjustRightInd w:val="0"/>
        <w:snapToGrid w:val="0"/>
        <w:spacing w:line="288" w:lineRule="auto"/>
        <w:rPr>
          <w:rFonts w:ascii="宋体" w:hAnsi="宋体"/>
          <w:b/>
          <w:spacing w:val="-6"/>
          <w:sz w:val="21"/>
          <w:szCs w:val="21"/>
        </w:rPr>
      </w:pPr>
      <w:r>
        <w:rPr>
          <w:rFonts w:hint="eastAsia" w:ascii="宋体" w:hAnsi="宋体"/>
          <w:b/>
          <w:spacing w:val="-6"/>
          <w:sz w:val="21"/>
          <w:szCs w:val="21"/>
        </w:rPr>
        <w:t>1</w:t>
      </w:r>
      <w:r>
        <w:rPr>
          <w:rFonts w:ascii="宋体" w:hAnsi="宋体"/>
          <w:b/>
          <w:spacing w:val="-6"/>
          <w:sz w:val="21"/>
          <w:szCs w:val="21"/>
        </w:rPr>
        <w:t>.</w:t>
      </w:r>
      <w:r>
        <w:rPr>
          <w:rFonts w:hint="eastAsia" w:ascii="宋体" w:hAnsi="宋体"/>
          <w:b/>
          <w:spacing w:val="-6"/>
          <w:sz w:val="21"/>
          <w:szCs w:val="21"/>
        </w:rPr>
        <w:t>投标人须提供上述业绩合同复印件；</w:t>
      </w:r>
    </w:p>
    <w:p>
      <w:pPr>
        <w:adjustRightInd w:val="0"/>
        <w:snapToGrid w:val="0"/>
        <w:spacing w:line="288" w:lineRule="auto"/>
        <w:rPr>
          <w:rFonts w:ascii="宋体" w:hAnsi="宋体"/>
          <w:b/>
          <w:spacing w:val="-6"/>
          <w:sz w:val="21"/>
          <w:szCs w:val="21"/>
        </w:rPr>
      </w:pPr>
      <w:r>
        <w:rPr>
          <w:rFonts w:hint="eastAsia" w:ascii="宋体" w:hAnsi="宋体"/>
          <w:b/>
          <w:spacing w:val="-6"/>
          <w:sz w:val="21"/>
          <w:szCs w:val="21"/>
        </w:rPr>
        <w:t>2</w:t>
      </w:r>
      <w:r>
        <w:rPr>
          <w:rFonts w:ascii="宋体" w:hAnsi="宋体"/>
          <w:b/>
          <w:spacing w:val="-6"/>
          <w:sz w:val="21"/>
          <w:szCs w:val="21"/>
        </w:rPr>
        <w:t>.</w:t>
      </w:r>
      <w:r>
        <w:rPr>
          <w:rFonts w:hint="eastAsia" w:ascii="宋体" w:hAnsi="宋体"/>
          <w:b/>
          <w:spacing w:val="-6"/>
          <w:sz w:val="21"/>
          <w:szCs w:val="21"/>
        </w:rPr>
        <w:t>所有合同复印件应清晰，应能体现合同签订时间、双方签名盖章等内容；</w:t>
      </w:r>
    </w:p>
    <w:p>
      <w:pPr>
        <w:adjustRightInd w:val="0"/>
        <w:snapToGrid w:val="0"/>
        <w:spacing w:line="288" w:lineRule="auto"/>
        <w:rPr>
          <w:rFonts w:ascii="宋体" w:hAnsi="宋体"/>
          <w:b/>
          <w:spacing w:val="-6"/>
          <w:sz w:val="21"/>
          <w:szCs w:val="21"/>
        </w:rPr>
      </w:pPr>
      <w:r>
        <w:rPr>
          <w:rFonts w:hint="eastAsia" w:ascii="宋体" w:hAnsi="宋体"/>
          <w:b/>
          <w:spacing w:val="-6"/>
          <w:sz w:val="21"/>
          <w:szCs w:val="21"/>
        </w:rPr>
        <w:t>3</w:t>
      </w:r>
      <w:r>
        <w:rPr>
          <w:rFonts w:ascii="宋体" w:hAnsi="宋体"/>
          <w:b/>
          <w:spacing w:val="-6"/>
          <w:sz w:val="21"/>
          <w:szCs w:val="21"/>
        </w:rPr>
        <w:t>.</w:t>
      </w:r>
      <w:r>
        <w:rPr>
          <w:rFonts w:hint="eastAsia" w:ascii="宋体" w:hAnsi="宋体"/>
          <w:b/>
          <w:spacing w:val="-6"/>
          <w:sz w:val="21"/>
          <w:szCs w:val="21"/>
        </w:rPr>
        <w:t>投标人应在不涉及商业秘密的前提下尽可能提供详细的合同复印件内容。</w:t>
      </w:r>
    </w:p>
    <w:p>
      <w:pPr>
        <w:adjustRightInd w:val="0"/>
        <w:snapToGrid w:val="0"/>
        <w:spacing w:line="288" w:lineRule="auto"/>
        <w:rPr>
          <w:rFonts w:ascii="宋体" w:hAnsi="宋体"/>
          <w:spacing w:val="-6"/>
          <w:sz w:val="21"/>
          <w:szCs w:val="21"/>
        </w:rPr>
      </w:pPr>
    </w:p>
    <w:p>
      <w:pPr>
        <w:adjustRightInd w:val="0"/>
        <w:snapToGrid w:val="0"/>
        <w:spacing w:line="288" w:lineRule="auto"/>
        <w:rPr>
          <w:rFonts w:ascii="宋体" w:hAnsi="宋体"/>
          <w:spacing w:val="-6"/>
          <w:sz w:val="21"/>
          <w:szCs w:val="21"/>
        </w:rPr>
      </w:pPr>
      <w:r>
        <w:rPr>
          <w:rFonts w:hint="eastAsia" w:ascii="宋体" w:hAnsi="宋体"/>
          <w:spacing w:val="-6"/>
          <w:sz w:val="21"/>
          <w:szCs w:val="21"/>
        </w:rPr>
        <w:t>投标人名称（盖章）：</w:t>
      </w:r>
    </w:p>
    <w:p>
      <w:pPr>
        <w:adjustRightInd w:val="0"/>
        <w:snapToGrid w:val="0"/>
        <w:spacing w:line="288" w:lineRule="auto"/>
        <w:rPr>
          <w:rFonts w:ascii="宋体" w:hAnsi="宋体"/>
          <w:spacing w:val="-6"/>
          <w:sz w:val="21"/>
          <w:szCs w:val="21"/>
        </w:rPr>
      </w:pPr>
      <w:r>
        <w:rPr>
          <w:rFonts w:hint="eastAsia" w:ascii="宋体" w:hAnsi="宋体"/>
          <w:spacing w:val="-6"/>
          <w:sz w:val="21"/>
          <w:szCs w:val="21"/>
        </w:rPr>
        <w:t>投标人代表签名：</w:t>
      </w:r>
    </w:p>
    <w:p>
      <w:pPr>
        <w:adjustRightInd w:val="0"/>
        <w:snapToGrid w:val="0"/>
        <w:spacing w:line="288" w:lineRule="auto"/>
        <w:rPr>
          <w:rFonts w:ascii="宋体" w:hAnsi="宋体"/>
          <w:spacing w:val="-6"/>
          <w:sz w:val="21"/>
          <w:szCs w:val="21"/>
        </w:rPr>
      </w:pPr>
      <w:r>
        <w:rPr>
          <w:rFonts w:hint="eastAsia" w:ascii="宋体" w:hAnsi="宋体"/>
          <w:spacing w:val="-6"/>
          <w:sz w:val="21"/>
          <w:szCs w:val="21"/>
        </w:rPr>
        <w:t>日期：    年  月  日</w:t>
      </w:r>
    </w:p>
    <w:p>
      <w:pPr>
        <w:adjustRightInd w:val="0"/>
        <w:snapToGrid w:val="0"/>
        <w:spacing w:line="288" w:lineRule="auto"/>
        <w:jc w:val="center"/>
        <w:outlineLvl w:val="1"/>
        <w:rPr>
          <w:rFonts w:ascii="宋体" w:hAnsi="宋体"/>
          <w:b/>
          <w:bCs/>
          <w:iCs/>
          <w:spacing w:val="-6"/>
          <w:sz w:val="21"/>
          <w:szCs w:val="21"/>
        </w:rPr>
      </w:pPr>
      <w:r>
        <w:rPr>
          <w:rFonts w:hint="eastAsia" w:ascii="宋体" w:hAnsi="宋体"/>
          <w:spacing w:val="-6"/>
          <w:sz w:val="21"/>
          <w:szCs w:val="21"/>
        </w:rPr>
        <w:br w:type="page"/>
      </w:r>
    </w:p>
    <w:p>
      <w:pPr>
        <w:adjustRightInd w:val="0"/>
        <w:snapToGrid w:val="0"/>
        <w:spacing w:line="288" w:lineRule="auto"/>
        <w:ind w:firstLine="498" w:firstLineChars="236"/>
        <w:jc w:val="center"/>
        <w:outlineLvl w:val="2"/>
        <w:rPr>
          <w:rFonts w:ascii="宋体" w:hAnsi="宋体"/>
          <w:b/>
          <w:bCs/>
          <w:sz w:val="21"/>
          <w:szCs w:val="21"/>
        </w:rPr>
      </w:pPr>
      <w:r>
        <w:rPr>
          <w:rFonts w:hint="eastAsia" w:ascii="宋体" w:hAnsi="宋体"/>
          <w:b/>
          <w:bCs/>
          <w:sz w:val="21"/>
          <w:szCs w:val="21"/>
        </w:rPr>
        <w:t>（</w:t>
      </w:r>
      <w:r>
        <w:rPr>
          <w:rFonts w:ascii="宋体" w:hAnsi="宋体"/>
          <w:b/>
          <w:bCs/>
          <w:sz w:val="21"/>
          <w:szCs w:val="21"/>
        </w:rPr>
        <w:t>4</w:t>
      </w:r>
      <w:r>
        <w:rPr>
          <w:rFonts w:hint="eastAsia" w:ascii="宋体" w:hAnsi="宋体"/>
          <w:b/>
          <w:bCs/>
          <w:sz w:val="21"/>
          <w:szCs w:val="21"/>
        </w:rPr>
        <w:t>）采购</w:t>
      </w:r>
      <w:r>
        <w:rPr>
          <w:rFonts w:ascii="宋体" w:hAnsi="宋体"/>
          <w:b/>
          <w:bCs/>
          <w:sz w:val="21"/>
          <w:szCs w:val="21"/>
        </w:rPr>
        <w:t>需求</w:t>
      </w:r>
      <w:r>
        <w:rPr>
          <w:rFonts w:hint="eastAsia" w:ascii="宋体" w:hAnsi="宋体"/>
          <w:b/>
          <w:bCs/>
          <w:sz w:val="21"/>
          <w:szCs w:val="21"/>
        </w:rPr>
        <w:t>偏离表</w:t>
      </w: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采购人：中国林业科学研究院亚热带林业研究所</w:t>
      </w: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项目名称：安全保洁物业服务</w:t>
      </w:r>
    </w:p>
    <w:p>
      <w:pPr>
        <w:adjustRightInd w:val="0"/>
        <w:snapToGrid w:val="0"/>
        <w:spacing w:line="288" w:lineRule="auto"/>
        <w:rPr>
          <w:rFonts w:hint="eastAsia" w:ascii="宋体" w:hAnsi="宋体" w:eastAsia="宋体"/>
          <w:bCs/>
          <w:spacing w:val="-6"/>
          <w:sz w:val="21"/>
          <w:szCs w:val="21"/>
          <w:lang w:eastAsia="zh-CN"/>
        </w:rPr>
      </w:pPr>
      <w:r>
        <w:rPr>
          <w:rFonts w:hint="eastAsia" w:ascii="宋体" w:hAnsi="宋体"/>
          <w:bCs/>
          <w:spacing w:val="-6"/>
          <w:sz w:val="21"/>
          <w:szCs w:val="21"/>
        </w:rPr>
        <w:t>项目编号：</w:t>
      </w:r>
      <w:r>
        <w:rPr>
          <w:rFonts w:hint="eastAsia" w:ascii="宋体" w:hAnsi="宋体"/>
          <w:bCs/>
          <w:spacing w:val="-6"/>
          <w:sz w:val="21"/>
          <w:szCs w:val="21"/>
          <w:lang w:eastAsia="zh-CN"/>
        </w:rPr>
        <w:t>QSZB-Z(F)-B24035(GK)</w:t>
      </w:r>
    </w:p>
    <w:p>
      <w:pPr>
        <w:adjustRightInd w:val="0"/>
        <w:snapToGrid w:val="0"/>
        <w:spacing w:line="288" w:lineRule="auto"/>
        <w:rPr>
          <w:rFonts w:ascii="宋体" w:hAnsi="宋体"/>
          <w:bCs/>
          <w:spacing w:val="-6"/>
          <w:sz w:val="21"/>
          <w:szCs w:val="21"/>
        </w:rPr>
      </w:pPr>
      <w:r>
        <w:rPr>
          <w:rFonts w:hint="eastAsia" w:ascii="宋体" w:hAnsi="宋体"/>
          <w:bCs/>
          <w:spacing w:val="-6"/>
          <w:sz w:val="21"/>
          <w:szCs w:val="21"/>
        </w:rPr>
        <w:t>标项：</w:t>
      </w:r>
    </w:p>
    <w:tbl>
      <w:tblPr>
        <w:tblStyle w:val="24"/>
        <w:tblW w:w="9498"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3260"/>
        <w:gridCol w:w="3402"/>
        <w:gridCol w:w="19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851" w:type="dxa"/>
            <w:vAlign w:val="center"/>
          </w:tcPr>
          <w:p>
            <w:pPr>
              <w:adjustRightInd w:val="0"/>
              <w:snapToGrid w:val="0"/>
              <w:spacing w:line="288" w:lineRule="auto"/>
              <w:jc w:val="center"/>
              <w:rPr>
                <w:rFonts w:ascii="宋体" w:hAnsi="宋体"/>
                <w:b/>
                <w:spacing w:val="-6"/>
                <w:sz w:val="21"/>
                <w:szCs w:val="21"/>
              </w:rPr>
            </w:pPr>
            <w:r>
              <w:rPr>
                <w:rFonts w:hint="eastAsia" w:ascii="宋体" w:hAnsi="宋体"/>
                <w:b/>
                <w:spacing w:val="-6"/>
                <w:sz w:val="21"/>
                <w:szCs w:val="21"/>
              </w:rPr>
              <w:t>序号</w:t>
            </w:r>
          </w:p>
        </w:tc>
        <w:tc>
          <w:tcPr>
            <w:tcW w:w="3260" w:type="dxa"/>
            <w:vAlign w:val="center"/>
          </w:tcPr>
          <w:p>
            <w:pPr>
              <w:adjustRightInd w:val="0"/>
              <w:snapToGrid w:val="0"/>
              <w:spacing w:line="288" w:lineRule="auto"/>
              <w:jc w:val="center"/>
              <w:rPr>
                <w:rFonts w:ascii="宋体" w:hAnsi="宋体"/>
                <w:b/>
                <w:spacing w:val="-6"/>
                <w:sz w:val="21"/>
                <w:szCs w:val="21"/>
              </w:rPr>
            </w:pPr>
            <w:r>
              <w:rPr>
                <w:rFonts w:hint="eastAsia" w:ascii="宋体" w:hAnsi="宋体"/>
                <w:b/>
                <w:spacing w:val="-6"/>
                <w:sz w:val="21"/>
                <w:szCs w:val="21"/>
              </w:rPr>
              <w:t>招标文件要求</w:t>
            </w:r>
          </w:p>
        </w:tc>
        <w:tc>
          <w:tcPr>
            <w:tcW w:w="3402" w:type="dxa"/>
            <w:vAlign w:val="center"/>
          </w:tcPr>
          <w:p>
            <w:pPr>
              <w:adjustRightInd w:val="0"/>
              <w:snapToGrid w:val="0"/>
              <w:spacing w:line="288" w:lineRule="auto"/>
              <w:jc w:val="center"/>
              <w:rPr>
                <w:rFonts w:ascii="宋体" w:hAnsi="宋体"/>
                <w:b/>
                <w:spacing w:val="-6"/>
                <w:sz w:val="21"/>
                <w:szCs w:val="21"/>
              </w:rPr>
            </w:pPr>
            <w:r>
              <w:rPr>
                <w:rFonts w:hint="eastAsia" w:ascii="宋体" w:hAnsi="宋体"/>
                <w:b/>
                <w:spacing w:val="-6"/>
                <w:sz w:val="21"/>
                <w:szCs w:val="21"/>
              </w:rPr>
              <w:t>响应内容</w:t>
            </w:r>
          </w:p>
        </w:tc>
        <w:tc>
          <w:tcPr>
            <w:tcW w:w="1985" w:type="dxa"/>
            <w:vAlign w:val="center"/>
          </w:tcPr>
          <w:p>
            <w:pPr>
              <w:adjustRightInd w:val="0"/>
              <w:snapToGrid w:val="0"/>
              <w:spacing w:line="288" w:lineRule="auto"/>
              <w:jc w:val="center"/>
              <w:rPr>
                <w:rFonts w:ascii="宋体" w:hAnsi="宋体"/>
                <w:b/>
                <w:spacing w:val="-6"/>
                <w:sz w:val="21"/>
                <w:szCs w:val="21"/>
              </w:rPr>
            </w:pPr>
            <w:r>
              <w:rPr>
                <w:rFonts w:hint="eastAsia" w:ascii="宋体" w:hAnsi="宋体"/>
                <w:b/>
                <w:spacing w:val="-6"/>
                <w:sz w:val="21"/>
                <w:szCs w:val="21"/>
              </w:rPr>
              <w:t>是否偏离</w:t>
            </w:r>
          </w:p>
          <w:p>
            <w:pPr>
              <w:adjustRightInd w:val="0"/>
              <w:snapToGrid w:val="0"/>
              <w:spacing w:line="288" w:lineRule="auto"/>
              <w:jc w:val="center"/>
              <w:rPr>
                <w:rFonts w:ascii="宋体" w:hAnsi="宋体"/>
                <w:b/>
                <w:spacing w:val="-6"/>
                <w:sz w:val="21"/>
                <w:szCs w:val="21"/>
              </w:rPr>
            </w:pPr>
            <w:r>
              <w:rPr>
                <w:rFonts w:hint="eastAsia" w:ascii="宋体" w:hAnsi="宋体"/>
                <w:b/>
                <w:spacing w:val="-6"/>
                <w:sz w:val="21"/>
                <w:szCs w:val="21"/>
              </w:rPr>
              <w:t>（提供说明）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9498" w:type="dxa"/>
            <w:gridSpan w:val="4"/>
            <w:vAlign w:val="center"/>
          </w:tcPr>
          <w:p>
            <w:pPr>
              <w:adjustRightInd w:val="0"/>
              <w:snapToGrid w:val="0"/>
              <w:spacing w:line="288" w:lineRule="auto"/>
              <w:rPr>
                <w:rFonts w:ascii="宋体" w:hAnsi="宋体"/>
                <w:b/>
                <w:sz w:val="21"/>
                <w:szCs w:val="21"/>
              </w:rPr>
            </w:pPr>
            <w:r>
              <w:rPr>
                <w:rFonts w:hint="eastAsia" w:ascii="宋体" w:hAnsi="宋体"/>
                <w:b/>
                <w:sz w:val="21"/>
                <w:szCs w:val="21"/>
              </w:rPr>
              <w:t>采购资金的支付方式、时间、条件：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851" w:type="dxa"/>
            <w:vAlign w:val="center"/>
          </w:tcPr>
          <w:p>
            <w:pPr>
              <w:adjustRightInd w:val="0"/>
              <w:snapToGrid w:val="0"/>
              <w:spacing w:line="288" w:lineRule="auto"/>
              <w:jc w:val="center"/>
              <w:rPr>
                <w:rFonts w:ascii="宋体" w:hAnsi="宋体"/>
                <w:spacing w:val="-6"/>
                <w:sz w:val="21"/>
                <w:szCs w:val="21"/>
              </w:rPr>
            </w:pPr>
            <w:r>
              <w:rPr>
                <w:rFonts w:hint="eastAsia" w:ascii="宋体" w:hAnsi="宋体"/>
                <w:spacing w:val="-6"/>
                <w:sz w:val="21"/>
                <w:szCs w:val="21"/>
              </w:rPr>
              <w:t>1</w:t>
            </w:r>
          </w:p>
        </w:tc>
        <w:tc>
          <w:tcPr>
            <w:tcW w:w="3260" w:type="dxa"/>
            <w:vAlign w:val="center"/>
          </w:tcPr>
          <w:p>
            <w:pPr>
              <w:adjustRightInd w:val="0"/>
              <w:snapToGrid w:val="0"/>
              <w:spacing w:line="288" w:lineRule="auto"/>
              <w:jc w:val="center"/>
              <w:rPr>
                <w:rFonts w:ascii="宋体" w:hAnsi="宋体"/>
                <w:sz w:val="21"/>
                <w:szCs w:val="21"/>
              </w:rPr>
            </w:pPr>
          </w:p>
        </w:tc>
        <w:tc>
          <w:tcPr>
            <w:tcW w:w="3402" w:type="dxa"/>
            <w:vAlign w:val="center"/>
          </w:tcPr>
          <w:p>
            <w:pPr>
              <w:adjustRightInd w:val="0"/>
              <w:snapToGrid w:val="0"/>
              <w:spacing w:line="288" w:lineRule="auto"/>
              <w:jc w:val="center"/>
              <w:rPr>
                <w:rFonts w:ascii="宋体" w:hAnsi="宋体"/>
                <w:spacing w:val="-6"/>
                <w:sz w:val="21"/>
                <w:szCs w:val="21"/>
              </w:rPr>
            </w:pPr>
          </w:p>
        </w:tc>
        <w:tc>
          <w:tcPr>
            <w:tcW w:w="1985" w:type="dxa"/>
            <w:vAlign w:val="center"/>
          </w:tcPr>
          <w:p>
            <w:pPr>
              <w:adjustRightInd w:val="0"/>
              <w:snapToGrid w:val="0"/>
              <w:spacing w:line="288" w:lineRule="auto"/>
              <w:jc w:val="center"/>
              <w:rPr>
                <w:rFonts w:ascii="宋体" w:hAnsi="宋体"/>
                <w:spacing w:val="-6"/>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851" w:type="dxa"/>
            <w:vAlign w:val="center"/>
          </w:tcPr>
          <w:p>
            <w:pPr>
              <w:adjustRightInd w:val="0"/>
              <w:snapToGrid w:val="0"/>
              <w:spacing w:line="288" w:lineRule="auto"/>
              <w:jc w:val="center"/>
              <w:rPr>
                <w:rFonts w:ascii="宋体" w:hAnsi="宋体"/>
                <w:spacing w:val="-6"/>
                <w:sz w:val="21"/>
                <w:szCs w:val="21"/>
              </w:rPr>
            </w:pPr>
            <w:r>
              <w:rPr>
                <w:rFonts w:hint="eastAsia" w:ascii="宋体" w:hAnsi="宋体"/>
                <w:spacing w:val="-6"/>
                <w:sz w:val="21"/>
                <w:szCs w:val="21"/>
              </w:rPr>
              <w:t>2</w:t>
            </w:r>
          </w:p>
        </w:tc>
        <w:tc>
          <w:tcPr>
            <w:tcW w:w="3260" w:type="dxa"/>
            <w:vAlign w:val="center"/>
          </w:tcPr>
          <w:p>
            <w:pPr>
              <w:adjustRightInd w:val="0"/>
              <w:snapToGrid w:val="0"/>
              <w:spacing w:line="288" w:lineRule="auto"/>
              <w:jc w:val="center"/>
              <w:rPr>
                <w:rFonts w:ascii="宋体" w:hAnsi="宋体"/>
                <w:spacing w:val="-6"/>
                <w:sz w:val="21"/>
                <w:szCs w:val="21"/>
              </w:rPr>
            </w:pPr>
          </w:p>
        </w:tc>
        <w:tc>
          <w:tcPr>
            <w:tcW w:w="3402" w:type="dxa"/>
            <w:vAlign w:val="center"/>
          </w:tcPr>
          <w:p>
            <w:pPr>
              <w:adjustRightInd w:val="0"/>
              <w:snapToGrid w:val="0"/>
              <w:spacing w:line="288" w:lineRule="auto"/>
              <w:jc w:val="center"/>
              <w:rPr>
                <w:rFonts w:ascii="宋体" w:hAnsi="宋体"/>
                <w:spacing w:val="-6"/>
                <w:sz w:val="21"/>
                <w:szCs w:val="21"/>
              </w:rPr>
            </w:pPr>
          </w:p>
        </w:tc>
        <w:tc>
          <w:tcPr>
            <w:tcW w:w="1985" w:type="dxa"/>
            <w:vAlign w:val="center"/>
          </w:tcPr>
          <w:p>
            <w:pPr>
              <w:adjustRightInd w:val="0"/>
              <w:snapToGrid w:val="0"/>
              <w:spacing w:line="288" w:lineRule="auto"/>
              <w:jc w:val="center"/>
              <w:rPr>
                <w:rFonts w:ascii="宋体" w:hAnsi="宋体"/>
                <w:spacing w:val="-6"/>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851" w:type="dxa"/>
            <w:vAlign w:val="center"/>
          </w:tcPr>
          <w:p>
            <w:pPr>
              <w:adjustRightInd w:val="0"/>
              <w:snapToGrid w:val="0"/>
              <w:spacing w:line="288" w:lineRule="auto"/>
              <w:jc w:val="center"/>
              <w:rPr>
                <w:rFonts w:ascii="宋体" w:hAnsi="宋体"/>
                <w:spacing w:val="-6"/>
                <w:sz w:val="21"/>
                <w:szCs w:val="21"/>
              </w:rPr>
            </w:pPr>
            <w:r>
              <w:rPr>
                <w:rFonts w:ascii="宋体" w:hAnsi="宋体"/>
                <w:spacing w:val="-6"/>
                <w:sz w:val="21"/>
                <w:szCs w:val="21"/>
              </w:rPr>
              <w:t>……</w:t>
            </w:r>
          </w:p>
        </w:tc>
        <w:tc>
          <w:tcPr>
            <w:tcW w:w="3260" w:type="dxa"/>
            <w:vAlign w:val="center"/>
          </w:tcPr>
          <w:p>
            <w:pPr>
              <w:adjustRightInd w:val="0"/>
              <w:snapToGrid w:val="0"/>
              <w:spacing w:line="288" w:lineRule="auto"/>
              <w:jc w:val="center"/>
              <w:rPr>
                <w:rFonts w:ascii="宋体" w:hAnsi="宋体"/>
                <w:spacing w:val="-6"/>
                <w:sz w:val="21"/>
                <w:szCs w:val="21"/>
              </w:rPr>
            </w:pPr>
          </w:p>
        </w:tc>
        <w:tc>
          <w:tcPr>
            <w:tcW w:w="3402" w:type="dxa"/>
            <w:vAlign w:val="center"/>
          </w:tcPr>
          <w:p>
            <w:pPr>
              <w:adjustRightInd w:val="0"/>
              <w:snapToGrid w:val="0"/>
              <w:spacing w:line="288" w:lineRule="auto"/>
              <w:jc w:val="center"/>
              <w:rPr>
                <w:rFonts w:ascii="宋体" w:hAnsi="宋体"/>
                <w:spacing w:val="-6"/>
                <w:sz w:val="21"/>
                <w:szCs w:val="21"/>
              </w:rPr>
            </w:pPr>
          </w:p>
        </w:tc>
        <w:tc>
          <w:tcPr>
            <w:tcW w:w="1985" w:type="dxa"/>
            <w:vAlign w:val="center"/>
          </w:tcPr>
          <w:p>
            <w:pPr>
              <w:adjustRightInd w:val="0"/>
              <w:snapToGrid w:val="0"/>
              <w:spacing w:line="288" w:lineRule="auto"/>
              <w:jc w:val="center"/>
              <w:rPr>
                <w:rFonts w:ascii="宋体" w:hAnsi="宋体"/>
                <w:spacing w:val="-6"/>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9498" w:type="dxa"/>
            <w:gridSpan w:val="4"/>
            <w:vAlign w:val="center"/>
          </w:tcPr>
          <w:p>
            <w:pPr>
              <w:adjustRightInd w:val="0"/>
              <w:snapToGrid w:val="0"/>
              <w:spacing w:line="288" w:lineRule="auto"/>
              <w:rPr>
                <w:rFonts w:ascii="宋体" w:hAnsi="宋体"/>
                <w:b/>
                <w:spacing w:val="-6"/>
                <w:sz w:val="21"/>
                <w:szCs w:val="21"/>
              </w:rPr>
            </w:pPr>
            <w:r>
              <w:rPr>
                <w:rFonts w:hint="eastAsia" w:ascii="宋体" w:hAnsi="宋体"/>
                <w:b/>
                <w:sz w:val="21"/>
                <w:szCs w:val="21"/>
              </w:rPr>
              <w:t>服务</w:t>
            </w:r>
            <w:r>
              <w:rPr>
                <w:rFonts w:ascii="宋体" w:hAnsi="宋体"/>
                <w:b/>
                <w:sz w:val="21"/>
                <w:szCs w:val="21"/>
              </w:rPr>
              <w:t>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851" w:type="dxa"/>
            <w:vAlign w:val="center"/>
          </w:tcPr>
          <w:p>
            <w:pPr>
              <w:adjustRightInd w:val="0"/>
              <w:snapToGrid w:val="0"/>
              <w:spacing w:line="288" w:lineRule="auto"/>
              <w:jc w:val="center"/>
              <w:rPr>
                <w:rFonts w:ascii="宋体" w:hAnsi="宋体"/>
                <w:spacing w:val="-6"/>
                <w:sz w:val="21"/>
                <w:szCs w:val="21"/>
              </w:rPr>
            </w:pPr>
            <w:r>
              <w:rPr>
                <w:rFonts w:hint="eastAsia" w:ascii="宋体" w:hAnsi="宋体"/>
                <w:spacing w:val="-6"/>
                <w:sz w:val="21"/>
                <w:szCs w:val="21"/>
              </w:rPr>
              <w:t>1</w:t>
            </w:r>
          </w:p>
        </w:tc>
        <w:tc>
          <w:tcPr>
            <w:tcW w:w="3260" w:type="dxa"/>
            <w:vAlign w:val="center"/>
          </w:tcPr>
          <w:p>
            <w:pPr>
              <w:adjustRightInd w:val="0"/>
              <w:snapToGrid w:val="0"/>
              <w:spacing w:line="288" w:lineRule="auto"/>
              <w:jc w:val="center"/>
              <w:rPr>
                <w:rFonts w:ascii="宋体" w:hAnsi="宋体"/>
                <w:spacing w:val="-6"/>
                <w:sz w:val="21"/>
                <w:szCs w:val="21"/>
              </w:rPr>
            </w:pPr>
          </w:p>
        </w:tc>
        <w:tc>
          <w:tcPr>
            <w:tcW w:w="3402" w:type="dxa"/>
            <w:vAlign w:val="center"/>
          </w:tcPr>
          <w:p>
            <w:pPr>
              <w:adjustRightInd w:val="0"/>
              <w:snapToGrid w:val="0"/>
              <w:spacing w:line="288" w:lineRule="auto"/>
              <w:jc w:val="center"/>
              <w:rPr>
                <w:rFonts w:ascii="宋体" w:hAnsi="宋体"/>
                <w:spacing w:val="-6"/>
                <w:sz w:val="21"/>
                <w:szCs w:val="21"/>
              </w:rPr>
            </w:pPr>
          </w:p>
        </w:tc>
        <w:tc>
          <w:tcPr>
            <w:tcW w:w="1985" w:type="dxa"/>
            <w:vAlign w:val="center"/>
          </w:tcPr>
          <w:p>
            <w:pPr>
              <w:adjustRightInd w:val="0"/>
              <w:snapToGrid w:val="0"/>
              <w:spacing w:line="288" w:lineRule="auto"/>
              <w:jc w:val="center"/>
              <w:rPr>
                <w:rFonts w:ascii="宋体" w:hAnsi="宋体"/>
                <w:spacing w:val="-6"/>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851" w:type="dxa"/>
            <w:vAlign w:val="center"/>
          </w:tcPr>
          <w:p>
            <w:pPr>
              <w:adjustRightInd w:val="0"/>
              <w:snapToGrid w:val="0"/>
              <w:spacing w:line="288" w:lineRule="auto"/>
              <w:jc w:val="center"/>
              <w:rPr>
                <w:rFonts w:ascii="宋体" w:hAnsi="宋体"/>
                <w:spacing w:val="-6"/>
                <w:sz w:val="21"/>
                <w:szCs w:val="21"/>
              </w:rPr>
            </w:pPr>
            <w:r>
              <w:rPr>
                <w:rFonts w:hint="eastAsia" w:ascii="宋体" w:hAnsi="宋体"/>
                <w:spacing w:val="-6"/>
                <w:sz w:val="21"/>
                <w:szCs w:val="21"/>
              </w:rPr>
              <w:t>2</w:t>
            </w:r>
          </w:p>
        </w:tc>
        <w:tc>
          <w:tcPr>
            <w:tcW w:w="3260" w:type="dxa"/>
            <w:vAlign w:val="center"/>
          </w:tcPr>
          <w:p>
            <w:pPr>
              <w:adjustRightInd w:val="0"/>
              <w:snapToGrid w:val="0"/>
              <w:spacing w:line="288" w:lineRule="auto"/>
              <w:jc w:val="center"/>
              <w:rPr>
                <w:rFonts w:ascii="宋体" w:hAnsi="宋体"/>
                <w:sz w:val="21"/>
                <w:szCs w:val="21"/>
              </w:rPr>
            </w:pPr>
          </w:p>
        </w:tc>
        <w:tc>
          <w:tcPr>
            <w:tcW w:w="3402" w:type="dxa"/>
            <w:vAlign w:val="center"/>
          </w:tcPr>
          <w:p>
            <w:pPr>
              <w:adjustRightInd w:val="0"/>
              <w:snapToGrid w:val="0"/>
              <w:spacing w:line="288" w:lineRule="auto"/>
              <w:jc w:val="center"/>
              <w:rPr>
                <w:rFonts w:ascii="宋体" w:hAnsi="宋体"/>
                <w:spacing w:val="-6"/>
                <w:sz w:val="21"/>
                <w:szCs w:val="21"/>
              </w:rPr>
            </w:pPr>
          </w:p>
        </w:tc>
        <w:tc>
          <w:tcPr>
            <w:tcW w:w="1985" w:type="dxa"/>
            <w:vAlign w:val="center"/>
          </w:tcPr>
          <w:p>
            <w:pPr>
              <w:adjustRightInd w:val="0"/>
              <w:snapToGrid w:val="0"/>
              <w:spacing w:line="288" w:lineRule="auto"/>
              <w:jc w:val="center"/>
              <w:rPr>
                <w:rFonts w:ascii="宋体" w:hAnsi="宋体"/>
                <w:spacing w:val="-6"/>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851" w:type="dxa"/>
            <w:vAlign w:val="center"/>
          </w:tcPr>
          <w:p>
            <w:pPr>
              <w:adjustRightInd w:val="0"/>
              <w:snapToGrid w:val="0"/>
              <w:spacing w:line="288" w:lineRule="auto"/>
              <w:jc w:val="center"/>
              <w:rPr>
                <w:rFonts w:ascii="宋体" w:hAnsi="宋体"/>
                <w:spacing w:val="-6"/>
                <w:sz w:val="21"/>
                <w:szCs w:val="21"/>
              </w:rPr>
            </w:pPr>
            <w:r>
              <w:rPr>
                <w:rFonts w:ascii="宋体" w:hAnsi="宋体"/>
                <w:spacing w:val="-6"/>
                <w:sz w:val="21"/>
                <w:szCs w:val="21"/>
              </w:rPr>
              <w:t>……</w:t>
            </w:r>
          </w:p>
        </w:tc>
        <w:tc>
          <w:tcPr>
            <w:tcW w:w="3260" w:type="dxa"/>
            <w:vAlign w:val="center"/>
          </w:tcPr>
          <w:p>
            <w:pPr>
              <w:adjustRightInd w:val="0"/>
              <w:snapToGrid w:val="0"/>
              <w:spacing w:line="288" w:lineRule="auto"/>
              <w:jc w:val="center"/>
              <w:rPr>
                <w:rFonts w:ascii="宋体" w:hAnsi="宋体"/>
                <w:sz w:val="21"/>
                <w:szCs w:val="21"/>
              </w:rPr>
            </w:pPr>
          </w:p>
        </w:tc>
        <w:tc>
          <w:tcPr>
            <w:tcW w:w="3402" w:type="dxa"/>
            <w:vAlign w:val="center"/>
          </w:tcPr>
          <w:p>
            <w:pPr>
              <w:adjustRightInd w:val="0"/>
              <w:snapToGrid w:val="0"/>
              <w:spacing w:line="288" w:lineRule="auto"/>
              <w:jc w:val="center"/>
              <w:rPr>
                <w:rFonts w:ascii="宋体" w:hAnsi="宋体"/>
                <w:spacing w:val="-6"/>
                <w:sz w:val="21"/>
                <w:szCs w:val="21"/>
              </w:rPr>
            </w:pPr>
          </w:p>
        </w:tc>
        <w:tc>
          <w:tcPr>
            <w:tcW w:w="1985" w:type="dxa"/>
            <w:vAlign w:val="center"/>
          </w:tcPr>
          <w:p>
            <w:pPr>
              <w:adjustRightInd w:val="0"/>
              <w:snapToGrid w:val="0"/>
              <w:spacing w:line="288" w:lineRule="auto"/>
              <w:jc w:val="center"/>
              <w:rPr>
                <w:rFonts w:ascii="宋体" w:hAnsi="宋体"/>
                <w:spacing w:val="-6"/>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9498" w:type="dxa"/>
            <w:gridSpan w:val="4"/>
            <w:vAlign w:val="center"/>
          </w:tcPr>
          <w:p>
            <w:pPr>
              <w:adjustRightInd w:val="0"/>
              <w:snapToGrid w:val="0"/>
              <w:spacing w:line="288" w:lineRule="auto"/>
              <w:rPr>
                <w:rFonts w:ascii="宋体" w:hAnsi="宋体"/>
                <w:b/>
                <w:spacing w:val="-6"/>
                <w:sz w:val="21"/>
                <w:szCs w:val="21"/>
              </w:rPr>
            </w:pPr>
            <w:r>
              <w:rPr>
                <w:rFonts w:ascii="宋体" w:hAnsi="宋体"/>
                <w:b/>
                <w:spacing w:val="-6"/>
                <w:sz w:val="21"/>
                <w:szCs w:val="21"/>
              </w:rPr>
              <w:t>技术要求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851" w:type="dxa"/>
            <w:vAlign w:val="center"/>
          </w:tcPr>
          <w:p>
            <w:pPr>
              <w:adjustRightInd w:val="0"/>
              <w:snapToGrid w:val="0"/>
              <w:spacing w:line="288" w:lineRule="auto"/>
              <w:jc w:val="center"/>
              <w:rPr>
                <w:rFonts w:ascii="宋体" w:hAnsi="宋体"/>
                <w:spacing w:val="-6"/>
                <w:sz w:val="21"/>
                <w:szCs w:val="21"/>
              </w:rPr>
            </w:pPr>
            <w:r>
              <w:rPr>
                <w:rFonts w:hint="eastAsia" w:ascii="宋体" w:hAnsi="宋体"/>
                <w:spacing w:val="-6"/>
                <w:sz w:val="21"/>
                <w:szCs w:val="21"/>
              </w:rPr>
              <w:t>1</w:t>
            </w:r>
          </w:p>
        </w:tc>
        <w:tc>
          <w:tcPr>
            <w:tcW w:w="3260" w:type="dxa"/>
            <w:vAlign w:val="center"/>
          </w:tcPr>
          <w:p>
            <w:pPr>
              <w:adjustRightInd w:val="0"/>
              <w:snapToGrid w:val="0"/>
              <w:spacing w:line="288" w:lineRule="auto"/>
              <w:jc w:val="center"/>
              <w:rPr>
                <w:rFonts w:ascii="宋体" w:hAnsi="宋体"/>
                <w:sz w:val="21"/>
                <w:szCs w:val="21"/>
              </w:rPr>
            </w:pPr>
          </w:p>
        </w:tc>
        <w:tc>
          <w:tcPr>
            <w:tcW w:w="3402" w:type="dxa"/>
            <w:vAlign w:val="center"/>
          </w:tcPr>
          <w:p>
            <w:pPr>
              <w:adjustRightInd w:val="0"/>
              <w:snapToGrid w:val="0"/>
              <w:spacing w:line="288" w:lineRule="auto"/>
              <w:jc w:val="center"/>
              <w:rPr>
                <w:rFonts w:ascii="宋体" w:hAnsi="宋体"/>
                <w:spacing w:val="-6"/>
                <w:sz w:val="21"/>
                <w:szCs w:val="21"/>
              </w:rPr>
            </w:pPr>
          </w:p>
        </w:tc>
        <w:tc>
          <w:tcPr>
            <w:tcW w:w="1985" w:type="dxa"/>
            <w:vAlign w:val="center"/>
          </w:tcPr>
          <w:p>
            <w:pPr>
              <w:adjustRightInd w:val="0"/>
              <w:snapToGrid w:val="0"/>
              <w:spacing w:line="288" w:lineRule="auto"/>
              <w:jc w:val="center"/>
              <w:rPr>
                <w:rFonts w:ascii="宋体" w:hAnsi="宋体"/>
                <w:spacing w:val="-6"/>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851" w:type="dxa"/>
            <w:vAlign w:val="center"/>
          </w:tcPr>
          <w:p>
            <w:pPr>
              <w:adjustRightInd w:val="0"/>
              <w:snapToGrid w:val="0"/>
              <w:spacing w:line="288" w:lineRule="auto"/>
              <w:jc w:val="center"/>
              <w:rPr>
                <w:rFonts w:ascii="宋体" w:hAnsi="宋体"/>
                <w:spacing w:val="-6"/>
                <w:sz w:val="21"/>
                <w:szCs w:val="21"/>
              </w:rPr>
            </w:pPr>
            <w:r>
              <w:rPr>
                <w:rFonts w:hint="eastAsia" w:ascii="宋体" w:hAnsi="宋体"/>
                <w:spacing w:val="-6"/>
                <w:sz w:val="21"/>
                <w:szCs w:val="21"/>
              </w:rPr>
              <w:t>2</w:t>
            </w:r>
          </w:p>
        </w:tc>
        <w:tc>
          <w:tcPr>
            <w:tcW w:w="3260" w:type="dxa"/>
            <w:vAlign w:val="center"/>
          </w:tcPr>
          <w:p>
            <w:pPr>
              <w:adjustRightInd w:val="0"/>
              <w:snapToGrid w:val="0"/>
              <w:spacing w:line="288" w:lineRule="auto"/>
              <w:jc w:val="center"/>
              <w:rPr>
                <w:rFonts w:ascii="宋体" w:hAnsi="宋体"/>
                <w:sz w:val="21"/>
                <w:szCs w:val="21"/>
              </w:rPr>
            </w:pPr>
          </w:p>
        </w:tc>
        <w:tc>
          <w:tcPr>
            <w:tcW w:w="3402" w:type="dxa"/>
            <w:vAlign w:val="center"/>
          </w:tcPr>
          <w:p>
            <w:pPr>
              <w:adjustRightInd w:val="0"/>
              <w:snapToGrid w:val="0"/>
              <w:spacing w:line="288" w:lineRule="auto"/>
              <w:jc w:val="center"/>
              <w:rPr>
                <w:rFonts w:ascii="宋体" w:hAnsi="宋体"/>
                <w:spacing w:val="-6"/>
                <w:sz w:val="21"/>
                <w:szCs w:val="21"/>
              </w:rPr>
            </w:pPr>
          </w:p>
        </w:tc>
        <w:tc>
          <w:tcPr>
            <w:tcW w:w="1985" w:type="dxa"/>
            <w:vAlign w:val="center"/>
          </w:tcPr>
          <w:p>
            <w:pPr>
              <w:adjustRightInd w:val="0"/>
              <w:snapToGrid w:val="0"/>
              <w:spacing w:line="288" w:lineRule="auto"/>
              <w:jc w:val="center"/>
              <w:rPr>
                <w:rFonts w:ascii="宋体" w:hAnsi="宋体"/>
                <w:spacing w:val="-6"/>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851" w:type="dxa"/>
            <w:vAlign w:val="center"/>
          </w:tcPr>
          <w:p>
            <w:pPr>
              <w:adjustRightInd w:val="0"/>
              <w:snapToGrid w:val="0"/>
              <w:spacing w:line="288" w:lineRule="auto"/>
              <w:jc w:val="center"/>
              <w:rPr>
                <w:rFonts w:ascii="宋体" w:hAnsi="宋体"/>
                <w:spacing w:val="-6"/>
                <w:sz w:val="21"/>
                <w:szCs w:val="21"/>
              </w:rPr>
            </w:pPr>
            <w:r>
              <w:rPr>
                <w:rFonts w:ascii="宋体" w:hAnsi="宋体"/>
                <w:spacing w:val="-6"/>
                <w:sz w:val="21"/>
                <w:szCs w:val="21"/>
              </w:rPr>
              <w:t>……</w:t>
            </w:r>
          </w:p>
        </w:tc>
        <w:tc>
          <w:tcPr>
            <w:tcW w:w="3260" w:type="dxa"/>
            <w:vAlign w:val="center"/>
          </w:tcPr>
          <w:p>
            <w:pPr>
              <w:adjustRightInd w:val="0"/>
              <w:snapToGrid w:val="0"/>
              <w:spacing w:line="288" w:lineRule="auto"/>
              <w:jc w:val="center"/>
              <w:rPr>
                <w:rFonts w:ascii="宋体" w:hAnsi="宋体"/>
                <w:sz w:val="21"/>
                <w:szCs w:val="21"/>
              </w:rPr>
            </w:pPr>
          </w:p>
        </w:tc>
        <w:tc>
          <w:tcPr>
            <w:tcW w:w="3402" w:type="dxa"/>
            <w:vAlign w:val="center"/>
          </w:tcPr>
          <w:p>
            <w:pPr>
              <w:adjustRightInd w:val="0"/>
              <w:snapToGrid w:val="0"/>
              <w:spacing w:line="288" w:lineRule="auto"/>
              <w:jc w:val="center"/>
              <w:rPr>
                <w:rFonts w:ascii="宋体" w:hAnsi="宋体"/>
                <w:spacing w:val="-6"/>
                <w:sz w:val="21"/>
                <w:szCs w:val="21"/>
              </w:rPr>
            </w:pPr>
          </w:p>
        </w:tc>
        <w:tc>
          <w:tcPr>
            <w:tcW w:w="1985" w:type="dxa"/>
            <w:vAlign w:val="center"/>
          </w:tcPr>
          <w:p>
            <w:pPr>
              <w:adjustRightInd w:val="0"/>
              <w:snapToGrid w:val="0"/>
              <w:spacing w:line="288" w:lineRule="auto"/>
              <w:jc w:val="center"/>
              <w:rPr>
                <w:rFonts w:ascii="宋体" w:hAnsi="宋体"/>
                <w:spacing w:val="-6"/>
                <w:sz w:val="21"/>
                <w:szCs w:val="21"/>
              </w:rPr>
            </w:pPr>
          </w:p>
        </w:tc>
      </w:tr>
    </w:tbl>
    <w:p>
      <w:pPr>
        <w:adjustRightInd w:val="0"/>
        <w:snapToGrid w:val="0"/>
        <w:spacing w:line="288" w:lineRule="auto"/>
        <w:rPr>
          <w:rFonts w:ascii="宋体" w:hAnsi="宋体"/>
          <w:b/>
          <w:bCs/>
          <w:spacing w:val="-6"/>
          <w:sz w:val="21"/>
          <w:szCs w:val="21"/>
        </w:rPr>
      </w:pPr>
    </w:p>
    <w:p>
      <w:pPr>
        <w:adjustRightInd w:val="0"/>
        <w:snapToGrid w:val="0"/>
        <w:spacing w:line="288" w:lineRule="auto"/>
        <w:rPr>
          <w:rFonts w:ascii="宋体" w:hAnsi="宋体"/>
          <w:b/>
          <w:bCs/>
          <w:spacing w:val="-6"/>
          <w:sz w:val="21"/>
          <w:szCs w:val="21"/>
        </w:rPr>
      </w:pPr>
      <w:r>
        <w:rPr>
          <w:rFonts w:hint="eastAsia" w:ascii="宋体" w:hAnsi="宋体"/>
          <w:b/>
          <w:bCs/>
          <w:spacing w:val="-6"/>
          <w:sz w:val="21"/>
          <w:szCs w:val="21"/>
        </w:rPr>
        <w:t>说明：</w:t>
      </w:r>
    </w:p>
    <w:p>
      <w:pPr>
        <w:adjustRightInd w:val="0"/>
        <w:snapToGrid w:val="0"/>
        <w:spacing w:line="288" w:lineRule="auto"/>
        <w:rPr>
          <w:rFonts w:ascii="宋体" w:hAnsi="宋体"/>
          <w:b/>
          <w:bCs/>
          <w:spacing w:val="-6"/>
          <w:sz w:val="21"/>
          <w:szCs w:val="21"/>
        </w:rPr>
      </w:pPr>
      <w:r>
        <w:rPr>
          <w:rFonts w:hint="eastAsia" w:ascii="宋体" w:hAnsi="宋体"/>
          <w:b/>
          <w:bCs/>
          <w:spacing w:val="-6"/>
          <w:sz w:val="21"/>
          <w:szCs w:val="21"/>
        </w:rPr>
        <w:t>1</w:t>
      </w:r>
      <w:r>
        <w:rPr>
          <w:rFonts w:ascii="宋体" w:hAnsi="宋体"/>
          <w:b/>
          <w:bCs/>
          <w:spacing w:val="-6"/>
          <w:sz w:val="21"/>
          <w:szCs w:val="21"/>
        </w:rPr>
        <w:t>.</w:t>
      </w:r>
      <w:r>
        <w:rPr>
          <w:rFonts w:hint="eastAsia" w:ascii="宋体" w:hAnsi="宋体"/>
          <w:b/>
          <w:bCs/>
          <w:spacing w:val="-6"/>
          <w:sz w:val="21"/>
          <w:szCs w:val="21"/>
        </w:rPr>
        <w:t>逐项按照招标文件要求填写响应规格；</w:t>
      </w:r>
    </w:p>
    <w:p>
      <w:pPr>
        <w:adjustRightInd w:val="0"/>
        <w:snapToGrid w:val="0"/>
        <w:spacing w:line="288" w:lineRule="auto"/>
        <w:rPr>
          <w:rFonts w:ascii="宋体" w:hAnsi="宋体"/>
          <w:b/>
          <w:bCs/>
          <w:spacing w:val="-6"/>
          <w:sz w:val="21"/>
          <w:szCs w:val="21"/>
        </w:rPr>
      </w:pPr>
      <w:r>
        <w:rPr>
          <w:rFonts w:hint="eastAsia" w:ascii="宋体" w:hAnsi="宋体"/>
          <w:b/>
          <w:bCs/>
          <w:spacing w:val="-6"/>
          <w:sz w:val="21"/>
          <w:szCs w:val="21"/>
        </w:rPr>
        <w:t>2</w:t>
      </w:r>
      <w:r>
        <w:rPr>
          <w:rFonts w:ascii="宋体" w:hAnsi="宋体"/>
          <w:b/>
          <w:bCs/>
          <w:spacing w:val="-6"/>
          <w:sz w:val="21"/>
          <w:szCs w:val="21"/>
        </w:rPr>
        <w:t>.</w:t>
      </w:r>
      <w:r>
        <w:rPr>
          <w:rFonts w:hint="eastAsia" w:ascii="宋体" w:hAnsi="宋体"/>
          <w:b/>
          <w:bCs/>
          <w:spacing w:val="-6"/>
          <w:sz w:val="21"/>
          <w:szCs w:val="21"/>
        </w:rPr>
        <w:t>偏离说明是指对招标文件要求存在不同之处的解释说明。偏离系指：正偏离（高于招标要求）、负偏离（低于招标要求）、无偏离（满足招标要求）；</w:t>
      </w:r>
    </w:p>
    <w:p>
      <w:pPr>
        <w:adjustRightInd w:val="0"/>
        <w:snapToGrid w:val="0"/>
        <w:spacing w:line="288" w:lineRule="auto"/>
        <w:rPr>
          <w:rFonts w:ascii="宋体" w:hAnsi="宋体"/>
          <w:b/>
          <w:spacing w:val="-6"/>
          <w:sz w:val="21"/>
          <w:szCs w:val="21"/>
        </w:rPr>
      </w:pPr>
      <w:r>
        <w:rPr>
          <w:rFonts w:hint="eastAsia" w:ascii="宋体" w:hAnsi="宋体"/>
          <w:b/>
          <w:bCs/>
          <w:spacing w:val="-6"/>
          <w:sz w:val="21"/>
          <w:szCs w:val="21"/>
        </w:rPr>
        <w:t>3</w:t>
      </w:r>
      <w:r>
        <w:rPr>
          <w:rFonts w:ascii="宋体" w:hAnsi="宋体"/>
          <w:b/>
          <w:bCs/>
          <w:spacing w:val="-6"/>
          <w:sz w:val="21"/>
          <w:szCs w:val="21"/>
        </w:rPr>
        <w:t>.</w:t>
      </w:r>
      <w:r>
        <w:rPr>
          <w:rFonts w:hint="eastAsia" w:ascii="宋体" w:hAnsi="宋体"/>
          <w:b/>
          <w:bCs/>
          <w:spacing w:val="-6"/>
          <w:sz w:val="21"/>
          <w:szCs w:val="21"/>
        </w:rPr>
        <w:t>如不填写或未如实填写</w:t>
      </w:r>
      <w:r>
        <w:rPr>
          <w:rFonts w:hint="eastAsia" w:ascii="宋体" w:hAnsi="宋体"/>
          <w:b/>
          <w:spacing w:val="-6"/>
          <w:sz w:val="21"/>
          <w:szCs w:val="21"/>
        </w:rPr>
        <w:t>，自行承担投标风险。</w:t>
      </w:r>
    </w:p>
    <w:p>
      <w:pPr>
        <w:adjustRightInd w:val="0"/>
        <w:snapToGrid w:val="0"/>
        <w:spacing w:line="288" w:lineRule="auto"/>
        <w:rPr>
          <w:rFonts w:ascii="宋体" w:hAnsi="宋体"/>
          <w:spacing w:val="-6"/>
          <w:sz w:val="21"/>
          <w:szCs w:val="21"/>
        </w:rPr>
      </w:pPr>
    </w:p>
    <w:p>
      <w:pPr>
        <w:adjustRightInd w:val="0"/>
        <w:snapToGrid w:val="0"/>
        <w:spacing w:line="288" w:lineRule="auto"/>
        <w:rPr>
          <w:rFonts w:ascii="宋体" w:hAnsi="宋体"/>
          <w:spacing w:val="-6"/>
          <w:sz w:val="21"/>
          <w:szCs w:val="21"/>
        </w:rPr>
      </w:pPr>
    </w:p>
    <w:p>
      <w:pPr>
        <w:adjustRightInd w:val="0"/>
        <w:snapToGrid w:val="0"/>
        <w:spacing w:line="288" w:lineRule="auto"/>
        <w:rPr>
          <w:rFonts w:ascii="宋体" w:hAnsi="宋体"/>
          <w:spacing w:val="-6"/>
          <w:sz w:val="21"/>
          <w:szCs w:val="21"/>
        </w:rPr>
      </w:pPr>
      <w:r>
        <w:rPr>
          <w:rFonts w:hint="eastAsia" w:ascii="宋体" w:hAnsi="宋体"/>
          <w:spacing w:val="-6"/>
          <w:sz w:val="21"/>
          <w:szCs w:val="21"/>
        </w:rPr>
        <w:t>投标人名称（盖章）：</w:t>
      </w:r>
    </w:p>
    <w:p>
      <w:pPr>
        <w:adjustRightInd w:val="0"/>
        <w:snapToGrid w:val="0"/>
        <w:spacing w:line="288" w:lineRule="auto"/>
        <w:rPr>
          <w:rFonts w:ascii="宋体" w:hAnsi="宋体"/>
          <w:spacing w:val="-6"/>
          <w:sz w:val="21"/>
          <w:szCs w:val="21"/>
        </w:rPr>
      </w:pPr>
      <w:r>
        <w:rPr>
          <w:rFonts w:hint="eastAsia" w:ascii="宋体" w:hAnsi="宋体"/>
          <w:spacing w:val="-6"/>
          <w:sz w:val="21"/>
          <w:szCs w:val="21"/>
        </w:rPr>
        <w:t>投标人代表签名：</w:t>
      </w:r>
    </w:p>
    <w:p>
      <w:pPr>
        <w:adjustRightInd w:val="0"/>
        <w:snapToGrid w:val="0"/>
        <w:spacing w:line="288" w:lineRule="auto"/>
        <w:rPr>
          <w:rFonts w:ascii="宋体" w:hAnsi="宋体"/>
          <w:spacing w:val="-6"/>
          <w:sz w:val="21"/>
          <w:szCs w:val="21"/>
        </w:rPr>
      </w:pPr>
      <w:r>
        <w:rPr>
          <w:rFonts w:hint="eastAsia" w:ascii="宋体" w:hAnsi="宋体"/>
          <w:spacing w:val="-6"/>
          <w:sz w:val="21"/>
          <w:szCs w:val="21"/>
        </w:rPr>
        <w:t>日期：  年  月  日</w:t>
      </w:r>
    </w:p>
    <w:p>
      <w:pPr>
        <w:adjustRightInd w:val="0"/>
        <w:snapToGrid w:val="0"/>
        <w:spacing w:line="288" w:lineRule="auto"/>
        <w:outlineLvl w:val="2"/>
        <w:rPr>
          <w:rFonts w:ascii="宋体" w:hAnsi="宋体"/>
          <w:b/>
          <w:spacing w:val="-6"/>
          <w:sz w:val="21"/>
          <w:szCs w:val="21"/>
        </w:rPr>
      </w:pPr>
      <w:r>
        <w:rPr>
          <w:rFonts w:ascii="宋体" w:hAnsi="宋体"/>
          <w:b/>
          <w:spacing w:val="-6"/>
          <w:sz w:val="21"/>
          <w:szCs w:val="21"/>
        </w:rPr>
        <w:br w:type="page"/>
      </w:r>
    </w:p>
    <w:p>
      <w:pPr>
        <w:adjustRightInd w:val="0"/>
        <w:snapToGrid w:val="0"/>
        <w:spacing w:line="288" w:lineRule="auto"/>
        <w:jc w:val="center"/>
        <w:outlineLvl w:val="2"/>
        <w:rPr>
          <w:rFonts w:ascii="宋体" w:hAnsi="宋体"/>
          <w:b/>
          <w:spacing w:val="-6"/>
          <w:sz w:val="21"/>
          <w:szCs w:val="21"/>
        </w:rPr>
      </w:pPr>
      <w:r>
        <w:rPr>
          <w:rFonts w:hint="eastAsia" w:ascii="宋体" w:hAnsi="宋体"/>
          <w:b/>
          <w:spacing w:val="-6"/>
          <w:sz w:val="21"/>
          <w:szCs w:val="21"/>
        </w:rPr>
        <w:t>以下内容根据评分内容格式自拟</w:t>
      </w:r>
    </w:p>
    <w:p>
      <w:pPr>
        <w:adjustRightInd w:val="0"/>
        <w:snapToGrid w:val="0"/>
        <w:spacing w:line="288" w:lineRule="auto"/>
        <w:outlineLvl w:val="2"/>
        <w:rPr>
          <w:rFonts w:ascii="宋体" w:hAnsi="宋体"/>
          <w:b/>
          <w:bCs/>
          <w:sz w:val="21"/>
          <w:szCs w:val="21"/>
        </w:rPr>
      </w:pPr>
      <w:r>
        <w:rPr>
          <w:rFonts w:hint="eastAsia" w:ascii="宋体" w:hAnsi="宋体"/>
          <w:b/>
          <w:bCs/>
          <w:sz w:val="21"/>
          <w:szCs w:val="21"/>
        </w:rPr>
        <w:t>（5）物业管理服务理念、定位、目标及方案</w:t>
      </w:r>
    </w:p>
    <w:p>
      <w:pPr>
        <w:adjustRightInd w:val="0"/>
        <w:snapToGrid w:val="0"/>
        <w:spacing w:line="288" w:lineRule="auto"/>
        <w:outlineLvl w:val="2"/>
        <w:rPr>
          <w:rFonts w:ascii="宋体" w:hAnsi="宋体"/>
          <w:b/>
          <w:bCs/>
          <w:sz w:val="21"/>
          <w:szCs w:val="21"/>
        </w:rPr>
      </w:pPr>
      <w:r>
        <w:rPr>
          <w:rFonts w:hint="eastAsia" w:ascii="宋体" w:hAnsi="宋体"/>
          <w:b/>
          <w:bCs/>
          <w:sz w:val="21"/>
          <w:szCs w:val="21"/>
        </w:rPr>
        <w:t>（6）组织架构、管理流程</w:t>
      </w:r>
    </w:p>
    <w:p>
      <w:pPr>
        <w:adjustRightInd w:val="0"/>
        <w:snapToGrid w:val="0"/>
        <w:spacing w:line="288" w:lineRule="auto"/>
        <w:outlineLvl w:val="2"/>
        <w:rPr>
          <w:rFonts w:ascii="宋体" w:hAnsi="宋体"/>
          <w:b/>
          <w:bCs/>
          <w:sz w:val="21"/>
          <w:szCs w:val="21"/>
        </w:rPr>
      </w:pPr>
      <w:r>
        <w:rPr>
          <w:rFonts w:hint="eastAsia" w:ascii="宋体" w:hAnsi="宋体"/>
          <w:b/>
          <w:bCs/>
          <w:sz w:val="21"/>
          <w:szCs w:val="21"/>
        </w:rPr>
        <w:t>（7）物业管理制度情况</w:t>
      </w:r>
    </w:p>
    <w:p>
      <w:pPr>
        <w:adjustRightInd w:val="0"/>
        <w:snapToGrid w:val="0"/>
        <w:spacing w:line="288" w:lineRule="auto"/>
        <w:outlineLvl w:val="2"/>
        <w:rPr>
          <w:rFonts w:ascii="宋体" w:hAnsi="宋体"/>
          <w:b/>
          <w:bCs/>
          <w:sz w:val="21"/>
          <w:szCs w:val="21"/>
        </w:rPr>
      </w:pPr>
      <w:r>
        <w:rPr>
          <w:rFonts w:hint="eastAsia" w:ascii="宋体" w:hAnsi="宋体"/>
          <w:b/>
          <w:bCs/>
          <w:sz w:val="21"/>
          <w:szCs w:val="21"/>
        </w:rPr>
        <w:t>（8）治安与秩序管理服务方案</w:t>
      </w:r>
    </w:p>
    <w:p>
      <w:pPr>
        <w:adjustRightInd w:val="0"/>
        <w:snapToGrid w:val="0"/>
        <w:spacing w:line="288" w:lineRule="auto"/>
        <w:outlineLvl w:val="2"/>
        <w:rPr>
          <w:rFonts w:ascii="宋体" w:hAnsi="宋体"/>
          <w:b/>
          <w:bCs/>
          <w:sz w:val="21"/>
          <w:szCs w:val="21"/>
        </w:rPr>
      </w:pPr>
      <w:r>
        <w:rPr>
          <w:rFonts w:hint="eastAsia" w:ascii="宋体" w:hAnsi="宋体"/>
          <w:b/>
          <w:bCs/>
          <w:sz w:val="21"/>
          <w:szCs w:val="21"/>
        </w:rPr>
        <w:t>（9）消防管理服务方案</w:t>
      </w:r>
    </w:p>
    <w:p>
      <w:pPr>
        <w:adjustRightInd w:val="0"/>
        <w:snapToGrid w:val="0"/>
        <w:spacing w:line="288" w:lineRule="auto"/>
        <w:outlineLvl w:val="2"/>
        <w:rPr>
          <w:rFonts w:ascii="宋体" w:hAnsi="宋体"/>
          <w:b/>
          <w:bCs/>
          <w:sz w:val="21"/>
          <w:szCs w:val="21"/>
        </w:rPr>
      </w:pPr>
      <w:r>
        <w:rPr>
          <w:rFonts w:hint="eastAsia" w:ascii="宋体" w:hAnsi="宋体"/>
          <w:b/>
          <w:bCs/>
          <w:sz w:val="21"/>
          <w:szCs w:val="21"/>
        </w:rPr>
        <w:t>（10）日常保洁和专业清洁服务方案</w:t>
      </w:r>
    </w:p>
    <w:p>
      <w:pPr>
        <w:adjustRightInd w:val="0"/>
        <w:snapToGrid w:val="0"/>
        <w:spacing w:line="288" w:lineRule="auto"/>
        <w:outlineLvl w:val="2"/>
        <w:rPr>
          <w:rFonts w:ascii="宋体" w:hAnsi="宋体"/>
          <w:b/>
          <w:bCs/>
          <w:sz w:val="21"/>
          <w:szCs w:val="21"/>
        </w:rPr>
      </w:pPr>
      <w:r>
        <w:rPr>
          <w:rFonts w:hint="eastAsia" w:ascii="宋体" w:hAnsi="宋体"/>
          <w:b/>
          <w:bCs/>
          <w:sz w:val="21"/>
          <w:szCs w:val="21"/>
        </w:rPr>
        <w:t>（11）会务服务方案</w:t>
      </w:r>
    </w:p>
    <w:p>
      <w:pPr>
        <w:adjustRightInd w:val="0"/>
        <w:snapToGrid w:val="0"/>
        <w:spacing w:line="288" w:lineRule="auto"/>
        <w:outlineLvl w:val="2"/>
        <w:rPr>
          <w:rFonts w:ascii="宋体" w:hAnsi="宋体"/>
          <w:b/>
          <w:bCs/>
          <w:sz w:val="21"/>
          <w:szCs w:val="21"/>
        </w:rPr>
      </w:pPr>
      <w:r>
        <w:rPr>
          <w:rFonts w:hint="eastAsia" w:ascii="宋体" w:hAnsi="宋体"/>
          <w:b/>
          <w:bCs/>
          <w:sz w:val="21"/>
          <w:szCs w:val="21"/>
        </w:rPr>
        <w:t>（12）应急突发事件管理方案</w:t>
      </w:r>
    </w:p>
    <w:p>
      <w:pPr>
        <w:adjustRightInd w:val="0"/>
        <w:snapToGrid w:val="0"/>
        <w:spacing w:line="288" w:lineRule="auto"/>
        <w:outlineLvl w:val="2"/>
        <w:rPr>
          <w:rFonts w:ascii="宋体" w:hAnsi="宋体"/>
          <w:b/>
          <w:bCs/>
          <w:sz w:val="21"/>
          <w:szCs w:val="21"/>
        </w:rPr>
      </w:pPr>
      <w:r>
        <w:rPr>
          <w:rFonts w:hint="eastAsia" w:ascii="宋体" w:hAnsi="宋体"/>
          <w:b/>
          <w:bCs/>
          <w:sz w:val="21"/>
          <w:szCs w:val="21"/>
        </w:rPr>
        <w:t>（13）服务团队</w:t>
      </w:r>
    </w:p>
    <w:p>
      <w:pPr>
        <w:adjustRightInd w:val="0"/>
        <w:snapToGrid w:val="0"/>
        <w:spacing w:line="288" w:lineRule="auto"/>
        <w:outlineLvl w:val="2"/>
        <w:rPr>
          <w:rFonts w:ascii="宋体" w:hAnsi="宋体"/>
          <w:b/>
          <w:bCs/>
          <w:sz w:val="21"/>
          <w:szCs w:val="21"/>
        </w:rPr>
      </w:pPr>
      <w:r>
        <w:rPr>
          <w:rFonts w:hint="eastAsia" w:ascii="宋体" w:hAnsi="宋体"/>
          <w:b/>
          <w:bCs/>
          <w:sz w:val="21"/>
          <w:szCs w:val="21"/>
        </w:rPr>
        <w:t>（14）拟投入设备</w:t>
      </w:r>
    </w:p>
    <w:p>
      <w:pPr>
        <w:adjustRightInd w:val="0"/>
        <w:snapToGrid w:val="0"/>
        <w:spacing w:line="288" w:lineRule="auto"/>
        <w:outlineLvl w:val="2"/>
        <w:rPr>
          <w:rFonts w:ascii="宋体" w:hAnsi="宋体"/>
          <w:b/>
          <w:bCs/>
          <w:sz w:val="21"/>
          <w:szCs w:val="21"/>
        </w:rPr>
      </w:pPr>
      <w:r>
        <w:rPr>
          <w:rFonts w:hint="eastAsia" w:ascii="宋体" w:hAnsi="宋体"/>
          <w:b/>
          <w:bCs/>
          <w:sz w:val="21"/>
          <w:szCs w:val="21"/>
        </w:rPr>
        <w:t>（15）投标人需要说明的其他文件和材料。</w:t>
      </w:r>
    </w:p>
    <w:p>
      <w:pPr>
        <w:adjustRightInd w:val="0"/>
        <w:snapToGrid w:val="0"/>
        <w:spacing w:line="288" w:lineRule="auto"/>
        <w:outlineLvl w:val="2"/>
        <w:rPr>
          <w:rFonts w:ascii="宋体" w:hAnsi="宋体" w:cs="宋体"/>
          <w:b/>
          <w:spacing w:val="-6"/>
          <w:sz w:val="21"/>
          <w:szCs w:val="21"/>
        </w:rPr>
      </w:pPr>
    </w:p>
    <w:p>
      <w:pPr>
        <w:spacing w:line="360" w:lineRule="auto"/>
        <w:jc w:val="left"/>
        <w:rPr>
          <w:rFonts w:ascii="宋体" w:hAnsi="宋体"/>
          <w:b/>
          <w:spacing w:val="-6"/>
          <w:sz w:val="24"/>
        </w:rPr>
      </w:pPr>
    </w:p>
    <w:sectPr>
      <w:footerReference r:id="rId5" w:type="default"/>
      <w:pgSz w:w="11906" w:h="16838"/>
      <w:pgMar w:top="1247" w:right="1247" w:bottom="1247" w:left="1247" w:header="35" w:footer="782" w:gutter="0"/>
      <w:pgNumType w:start="1"/>
      <w:cols w:space="720" w:num="1"/>
      <w:docGrid w:linePitch="381"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0000000000000000000"/>
    <w:charset w:val="86"/>
    <w:family w:val="moder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Arial Unicode MS">
    <w:altName w:val="宋体"/>
    <w:panose1 w:val="020B0604020202020204"/>
    <w:charset w:val="86"/>
    <w:family w:val="swiss"/>
    <w:pitch w:val="default"/>
    <w:sig w:usb0="00000000" w:usb1="00000000" w:usb2="0000003F" w:usb3="00000000" w:csb0="003F01FF" w:csb1="00000000"/>
  </w:font>
  <w:font w:name="Verdana">
    <w:panose1 w:val="020B0604030504040204"/>
    <w:charset w:val="00"/>
    <w:family w:val="swiss"/>
    <w:pitch w:val="default"/>
    <w:sig w:usb0="A00006FF" w:usb1="4000205B" w:usb2="00000010" w:usb3="00000000" w:csb0="2000019F" w:csb1="00000000"/>
  </w:font>
  <w:font w:name="Helvetica Neue Light">
    <w:altName w:val="Courier New"/>
    <w:panose1 w:val="00000000000000000000"/>
    <w:charset w:val="00"/>
    <w:family w:val="auto"/>
    <w:pitch w:val="default"/>
    <w:sig w:usb0="00000000" w:usb1="00000000" w:usb2="00000002" w:usb3="00000000" w:csb0="00000007" w:csb1="00000000"/>
  </w:font>
  <w:font w:name="ヒラギノ角ゴ Pro W3">
    <w:altName w:val="MS Gothic"/>
    <w:panose1 w:val="00000000000000000000"/>
    <w:charset w:val="80"/>
    <w:family w:val="auto"/>
    <w:pitch w:val="default"/>
    <w:sig w:usb0="00000000" w:usb1="00000000" w:usb2="00000012" w:usb3="00000000" w:csb0="0002000D" w:csb1="00000000"/>
  </w:font>
  <w:font w:name="等线">
    <w:panose1 w:val="02010600030101010101"/>
    <w:charset w:val="86"/>
    <w:family w:val="auto"/>
    <w:pitch w:val="default"/>
    <w:sig w:usb0="A00002BF" w:usb1="38CF7CFA" w:usb2="00000016" w:usb3="00000000" w:csb0="0004000F"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Helvetica">
    <w:altName w:val="Arial"/>
    <w:panose1 w:val="020B0604020202020204"/>
    <w:charset w:val="00"/>
    <w:family w:val="swiss"/>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right="56"/>
      <w:jc w:val="center"/>
      <w:rPr>
        <w:rFonts w:ascii="宋体" w:hAnsi="宋体"/>
        <w:sz w:val="21"/>
        <w:szCs w:val="21"/>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right="56"/>
      <w:jc w:val="center"/>
      <w:rPr>
        <w:rFonts w:ascii="宋体" w:hAnsi="宋体"/>
        <w:sz w:val="21"/>
        <w:szCs w:val="21"/>
      </w:rPr>
    </w:pPr>
    <w:r>
      <w:rPr>
        <w:rFonts w:ascii="宋体" w:hAnsi="宋体"/>
        <w:sz w:val="21"/>
        <w:szCs w:val="21"/>
      </w:rPr>
      <w:fldChar w:fldCharType="begin"/>
    </w:r>
    <w:r>
      <w:rPr>
        <w:rFonts w:ascii="宋体" w:hAnsi="宋体"/>
        <w:sz w:val="21"/>
        <w:szCs w:val="21"/>
      </w:rPr>
      <w:instrText xml:space="preserve">PAGE   \* MERGEFORMAT</w:instrText>
    </w:r>
    <w:r>
      <w:rPr>
        <w:rFonts w:ascii="宋体" w:hAnsi="宋体"/>
        <w:sz w:val="21"/>
        <w:szCs w:val="21"/>
      </w:rPr>
      <w:fldChar w:fldCharType="separate"/>
    </w:r>
    <w:r>
      <w:rPr>
        <w:rFonts w:ascii="宋体" w:hAnsi="宋体"/>
        <w:sz w:val="21"/>
        <w:szCs w:val="21"/>
        <w:lang w:val="zh-CN"/>
      </w:rPr>
      <w:t>28</w:t>
    </w:r>
    <w:r>
      <w:rPr>
        <w:rFonts w:ascii="宋体" w:hAnsi="宋体"/>
        <w:sz w:val="21"/>
        <w:szCs w:val="21"/>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r>
      <w:rPr>
        <w:rFonts w:hint="eastAsia"/>
      </w:rPr>
      <w:drawing>
        <wp:inline distT="0" distB="0" distL="114300" distR="114300">
          <wp:extent cx="5906770" cy="676910"/>
          <wp:effectExtent l="0" t="0" r="11430" b="8890"/>
          <wp:docPr id="1" name="图片 1" descr="f9ad8fa1d50c7a1f849c22e1226e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f9ad8fa1d50c7a1f849c22e1226e214"/>
                  <pic:cNvPicPr>
                    <a:picLocks noChangeAspect="1"/>
                  </pic:cNvPicPr>
                </pic:nvPicPr>
                <pic:blipFill>
                  <a:blip r:embed="rId1"/>
                  <a:stretch>
                    <a:fillRect/>
                  </a:stretch>
                </pic:blipFill>
                <pic:spPr>
                  <a:xfrm>
                    <a:off x="0" y="0"/>
                    <a:ext cx="5906770" cy="676910"/>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5"/>
    <w:multiLevelType w:val="multilevel"/>
    <w:tmpl w:val="00000005"/>
    <w:lvl w:ilvl="0" w:tentative="0">
      <w:start w:val="1"/>
      <w:numFmt w:val="decimal"/>
      <w:pStyle w:val="5"/>
      <w:lvlText w:val="%1、"/>
      <w:lvlJc w:val="left"/>
      <w:pPr>
        <w:tabs>
          <w:tab w:val="left" w:pos="720"/>
        </w:tabs>
        <w:ind w:left="720" w:hanging="7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cumentProtection w:enforcement="0"/>
  <w:defaultTabStop w:val="420"/>
  <w:drawingGridHorizontalSpacing w:val="140"/>
  <w:drawingGridVerticalSpacing w:val="156"/>
  <w:noPunctuationKerning w:val="1"/>
  <w:characterSpacingControl w:val="compressPunctuation"/>
  <w:doNotValidateAgainstSchema/>
  <w:doNotDemarcateInvalidXml/>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I4YTY2NzNjYzhhMDBjYjhiZDFjNDRhZjk5ZjcyM2MifQ=="/>
  </w:docVars>
  <w:rsids>
    <w:rsidRoot w:val="00172A27"/>
    <w:rsid w:val="0000398C"/>
    <w:rsid w:val="00003BD7"/>
    <w:rsid w:val="00003BED"/>
    <w:rsid w:val="0000407F"/>
    <w:rsid w:val="00004FAB"/>
    <w:rsid w:val="000063B2"/>
    <w:rsid w:val="00006479"/>
    <w:rsid w:val="00006F5B"/>
    <w:rsid w:val="00007370"/>
    <w:rsid w:val="0001073A"/>
    <w:rsid w:val="00010B5C"/>
    <w:rsid w:val="000114CE"/>
    <w:rsid w:val="000114CF"/>
    <w:rsid w:val="00012579"/>
    <w:rsid w:val="00012EBC"/>
    <w:rsid w:val="00012FC3"/>
    <w:rsid w:val="0001334A"/>
    <w:rsid w:val="00014602"/>
    <w:rsid w:val="0001520A"/>
    <w:rsid w:val="00015891"/>
    <w:rsid w:val="00016879"/>
    <w:rsid w:val="000169F9"/>
    <w:rsid w:val="0001775B"/>
    <w:rsid w:val="00017BEE"/>
    <w:rsid w:val="00020676"/>
    <w:rsid w:val="00020801"/>
    <w:rsid w:val="00020F9E"/>
    <w:rsid w:val="00021D4E"/>
    <w:rsid w:val="00022F14"/>
    <w:rsid w:val="00023178"/>
    <w:rsid w:val="00024130"/>
    <w:rsid w:val="00024BFC"/>
    <w:rsid w:val="00024FAE"/>
    <w:rsid w:val="00025754"/>
    <w:rsid w:val="00025DBE"/>
    <w:rsid w:val="00025E6A"/>
    <w:rsid w:val="00026877"/>
    <w:rsid w:val="00027A3C"/>
    <w:rsid w:val="00030DB5"/>
    <w:rsid w:val="00030E81"/>
    <w:rsid w:val="00031075"/>
    <w:rsid w:val="000310FE"/>
    <w:rsid w:val="00031193"/>
    <w:rsid w:val="00031E2B"/>
    <w:rsid w:val="0003200B"/>
    <w:rsid w:val="00032280"/>
    <w:rsid w:val="000325E1"/>
    <w:rsid w:val="0003269A"/>
    <w:rsid w:val="00033A0C"/>
    <w:rsid w:val="00033E2F"/>
    <w:rsid w:val="00034702"/>
    <w:rsid w:val="0003474D"/>
    <w:rsid w:val="00034B6F"/>
    <w:rsid w:val="00035A6C"/>
    <w:rsid w:val="00036996"/>
    <w:rsid w:val="0003700E"/>
    <w:rsid w:val="0003797E"/>
    <w:rsid w:val="00040041"/>
    <w:rsid w:val="00041D0F"/>
    <w:rsid w:val="00041FA3"/>
    <w:rsid w:val="000420B5"/>
    <w:rsid w:val="00042442"/>
    <w:rsid w:val="00043E78"/>
    <w:rsid w:val="000457CF"/>
    <w:rsid w:val="000459B5"/>
    <w:rsid w:val="00045C96"/>
    <w:rsid w:val="00045EE2"/>
    <w:rsid w:val="00046AD1"/>
    <w:rsid w:val="00047DF2"/>
    <w:rsid w:val="00050CC8"/>
    <w:rsid w:val="0005166C"/>
    <w:rsid w:val="00051736"/>
    <w:rsid w:val="00051774"/>
    <w:rsid w:val="00052078"/>
    <w:rsid w:val="00052C43"/>
    <w:rsid w:val="00053AD2"/>
    <w:rsid w:val="00053E3F"/>
    <w:rsid w:val="00054211"/>
    <w:rsid w:val="000546B0"/>
    <w:rsid w:val="00055269"/>
    <w:rsid w:val="00055708"/>
    <w:rsid w:val="000558AF"/>
    <w:rsid w:val="00055BA4"/>
    <w:rsid w:val="0005629D"/>
    <w:rsid w:val="0005633A"/>
    <w:rsid w:val="000572E5"/>
    <w:rsid w:val="000574BB"/>
    <w:rsid w:val="00057B3C"/>
    <w:rsid w:val="00057C6A"/>
    <w:rsid w:val="00057D97"/>
    <w:rsid w:val="0006044C"/>
    <w:rsid w:val="00060AAB"/>
    <w:rsid w:val="00061877"/>
    <w:rsid w:val="00061D6C"/>
    <w:rsid w:val="000623DA"/>
    <w:rsid w:val="00062A44"/>
    <w:rsid w:val="00062C77"/>
    <w:rsid w:val="00062D39"/>
    <w:rsid w:val="00064267"/>
    <w:rsid w:val="00064453"/>
    <w:rsid w:val="000645AC"/>
    <w:rsid w:val="00064F1A"/>
    <w:rsid w:val="00065066"/>
    <w:rsid w:val="00065362"/>
    <w:rsid w:val="00065A82"/>
    <w:rsid w:val="00066072"/>
    <w:rsid w:val="00067661"/>
    <w:rsid w:val="0006785D"/>
    <w:rsid w:val="00067B67"/>
    <w:rsid w:val="00070A46"/>
    <w:rsid w:val="00071135"/>
    <w:rsid w:val="00071C2A"/>
    <w:rsid w:val="00072425"/>
    <w:rsid w:val="00072F4C"/>
    <w:rsid w:val="00073FF7"/>
    <w:rsid w:val="00074378"/>
    <w:rsid w:val="00074AEE"/>
    <w:rsid w:val="00074D7B"/>
    <w:rsid w:val="00076570"/>
    <w:rsid w:val="000765AF"/>
    <w:rsid w:val="0007690F"/>
    <w:rsid w:val="00077067"/>
    <w:rsid w:val="0007797E"/>
    <w:rsid w:val="000804A7"/>
    <w:rsid w:val="00080A03"/>
    <w:rsid w:val="00081AD3"/>
    <w:rsid w:val="00081D2F"/>
    <w:rsid w:val="00081D47"/>
    <w:rsid w:val="00084D5F"/>
    <w:rsid w:val="00085880"/>
    <w:rsid w:val="00085EC0"/>
    <w:rsid w:val="00087519"/>
    <w:rsid w:val="00090ABA"/>
    <w:rsid w:val="00090D76"/>
    <w:rsid w:val="000919BD"/>
    <w:rsid w:val="00092E35"/>
    <w:rsid w:val="00093340"/>
    <w:rsid w:val="00093853"/>
    <w:rsid w:val="000941F1"/>
    <w:rsid w:val="00094C73"/>
    <w:rsid w:val="0009536D"/>
    <w:rsid w:val="000957CD"/>
    <w:rsid w:val="00095FDF"/>
    <w:rsid w:val="00096127"/>
    <w:rsid w:val="000965C7"/>
    <w:rsid w:val="0009732C"/>
    <w:rsid w:val="000975C3"/>
    <w:rsid w:val="000977BD"/>
    <w:rsid w:val="000A0315"/>
    <w:rsid w:val="000A08EF"/>
    <w:rsid w:val="000A145E"/>
    <w:rsid w:val="000A2678"/>
    <w:rsid w:val="000A29BE"/>
    <w:rsid w:val="000A3119"/>
    <w:rsid w:val="000A3EEC"/>
    <w:rsid w:val="000A4CE6"/>
    <w:rsid w:val="000A6116"/>
    <w:rsid w:val="000A7CFC"/>
    <w:rsid w:val="000B1842"/>
    <w:rsid w:val="000B1DC8"/>
    <w:rsid w:val="000B2628"/>
    <w:rsid w:val="000B2E27"/>
    <w:rsid w:val="000B31E1"/>
    <w:rsid w:val="000B3E1B"/>
    <w:rsid w:val="000B3F20"/>
    <w:rsid w:val="000B40E6"/>
    <w:rsid w:val="000B504A"/>
    <w:rsid w:val="000B505A"/>
    <w:rsid w:val="000B55D0"/>
    <w:rsid w:val="000B575E"/>
    <w:rsid w:val="000B5C73"/>
    <w:rsid w:val="000B6848"/>
    <w:rsid w:val="000B6C54"/>
    <w:rsid w:val="000B6CCA"/>
    <w:rsid w:val="000B75B1"/>
    <w:rsid w:val="000B78AE"/>
    <w:rsid w:val="000C2709"/>
    <w:rsid w:val="000C29F0"/>
    <w:rsid w:val="000C3741"/>
    <w:rsid w:val="000C37FE"/>
    <w:rsid w:val="000C460F"/>
    <w:rsid w:val="000C47A9"/>
    <w:rsid w:val="000C4883"/>
    <w:rsid w:val="000C5831"/>
    <w:rsid w:val="000C587D"/>
    <w:rsid w:val="000C5C75"/>
    <w:rsid w:val="000C60CB"/>
    <w:rsid w:val="000C6718"/>
    <w:rsid w:val="000C68EB"/>
    <w:rsid w:val="000C741E"/>
    <w:rsid w:val="000D03C9"/>
    <w:rsid w:val="000D1479"/>
    <w:rsid w:val="000D1903"/>
    <w:rsid w:val="000D25B1"/>
    <w:rsid w:val="000D2B1D"/>
    <w:rsid w:val="000D2EC5"/>
    <w:rsid w:val="000D2F1B"/>
    <w:rsid w:val="000D2FF7"/>
    <w:rsid w:val="000D3E9E"/>
    <w:rsid w:val="000D4C7F"/>
    <w:rsid w:val="000D519D"/>
    <w:rsid w:val="000D52CE"/>
    <w:rsid w:val="000D6C0F"/>
    <w:rsid w:val="000D7644"/>
    <w:rsid w:val="000E01A8"/>
    <w:rsid w:val="000E01C6"/>
    <w:rsid w:val="000E084C"/>
    <w:rsid w:val="000E0978"/>
    <w:rsid w:val="000E157A"/>
    <w:rsid w:val="000E1629"/>
    <w:rsid w:val="000E1EE9"/>
    <w:rsid w:val="000E1F25"/>
    <w:rsid w:val="000E1F26"/>
    <w:rsid w:val="000E215F"/>
    <w:rsid w:val="000E2248"/>
    <w:rsid w:val="000E25FD"/>
    <w:rsid w:val="000E27F6"/>
    <w:rsid w:val="000E32A8"/>
    <w:rsid w:val="000E386F"/>
    <w:rsid w:val="000E3A24"/>
    <w:rsid w:val="000E4073"/>
    <w:rsid w:val="000E6588"/>
    <w:rsid w:val="000E7DBB"/>
    <w:rsid w:val="000F09AF"/>
    <w:rsid w:val="000F0D64"/>
    <w:rsid w:val="000F1F26"/>
    <w:rsid w:val="000F1FAE"/>
    <w:rsid w:val="000F20B7"/>
    <w:rsid w:val="000F21CF"/>
    <w:rsid w:val="000F2984"/>
    <w:rsid w:val="000F2AAD"/>
    <w:rsid w:val="000F31CF"/>
    <w:rsid w:val="000F3357"/>
    <w:rsid w:val="000F4212"/>
    <w:rsid w:val="000F47CE"/>
    <w:rsid w:val="000F5330"/>
    <w:rsid w:val="000F5377"/>
    <w:rsid w:val="000F55B7"/>
    <w:rsid w:val="000F5BBD"/>
    <w:rsid w:val="000F5D40"/>
    <w:rsid w:val="000F665A"/>
    <w:rsid w:val="000F6BCE"/>
    <w:rsid w:val="000F6F72"/>
    <w:rsid w:val="000F7174"/>
    <w:rsid w:val="000F7941"/>
    <w:rsid w:val="001003F0"/>
    <w:rsid w:val="0010098C"/>
    <w:rsid w:val="00100E4C"/>
    <w:rsid w:val="00101341"/>
    <w:rsid w:val="00101F5D"/>
    <w:rsid w:val="00102403"/>
    <w:rsid w:val="001024AA"/>
    <w:rsid w:val="00102D01"/>
    <w:rsid w:val="00103865"/>
    <w:rsid w:val="00104396"/>
    <w:rsid w:val="00104A59"/>
    <w:rsid w:val="001056C7"/>
    <w:rsid w:val="00105F12"/>
    <w:rsid w:val="00105FD9"/>
    <w:rsid w:val="00106018"/>
    <w:rsid w:val="00106531"/>
    <w:rsid w:val="001070C4"/>
    <w:rsid w:val="001078DB"/>
    <w:rsid w:val="00110547"/>
    <w:rsid w:val="001107C6"/>
    <w:rsid w:val="00110AE7"/>
    <w:rsid w:val="00111B51"/>
    <w:rsid w:val="00114482"/>
    <w:rsid w:val="001144F7"/>
    <w:rsid w:val="001157D1"/>
    <w:rsid w:val="00116AC0"/>
    <w:rsid w:val="00117084"/>
    <w:rsid w:val="00117CA4"/>
    <w:rsid w:val="0012048B"/>
    <w:rsid w:val="00121040"/>
    <w:rsid w:val="00123971"/>
    <w:rsid w:val="00124DE1"/>
    <w:rsid w:val="00125768"/>
    <w:rsid w:val="00125853"/>
    <w:rsid w:val="00125FDA"/>
    <w:rsid w:val="00126439"/>
    <w:rsid w:val="001266CC"/>
    <w:rsid w:val="00126C29"/>
    <w:rsid w:val="00130CAF"/>
    <w:rsid w:val="00130ED6"/>
    <w:rsid w:val="00132A2E"/>
    <w:rsid w:val="001330A8"/>
    <w:rsid w:val="001345C3"/>
    <w:rsid w:val="001348A2"/>
    <w:rsid w:val="00134FB1"/>
    <w:rsid w:val="001354D5"/>
    <w:rsid w:val="001356B8"/>
    <w:rsid w:val="00136771"/>
    <w:rsid w:val="00136919"/>
    <w:rsid w:val="00136F4D"/>
    <w:rsid w:val="0013796A"/>
    <w:rsid w:val="0014023E"/>
    <w:rsid w:val="00140466"/>
    <w:rsid w:val="0014162A"/>
    <w:rsid w:val="00142B06"/>
    <w:rsid w:val="0014310B"/>
    <w:rsid w:val="00143148"/>
    <w:rsid w:val="00144DE2"/>
    <w:rsid w:val="001454BC"/>
    <w:rsid w:val="0014555E"/>
    <w:rsid w:val="0014557B"/>
    <w:rsid w:val="00145989"/>
    <w:rsid w:val="00145E97"/>
    <w:rsid w:val="00146158"/>
    <w:rsid w:val="001475CB"/>
    <w:rsid w:val="00147BFC"/>
    <w:rsid w:val="00147DBE"/>
    <w:rsid w:val="001502BC"/>
    <w:rsid w:val="0015076A"/>
    <w:rsid w:val="00150D1E"/>
    <w:rsid w:val="00150D46"/>
    <w:rsid w:val="00150EE4"/>
    <w:rsid w:val="00152D27"/>
    <w:rsid w:val="00153628"/>
    <w:rsid w:val="001540BA"/>
    <w:rsid w:val="001552AD"/>
    <w:rsid w:val="001553E4"/>
    <w:rsid w:val="00155439"/>
    <w:rsid w:val="00155AFA"/>
    <w:rsid w:val="001566F2"/>
    <w:rsid w:val="00157565"/>
    <w:rsid w:val="001578A4"/>
    <w:rsid w:val="001578F4"/>
    <w:rsid w:val="00157BA2"/>
    <w:rsid w:val="00157C26"/>
    <w:rsid w:val="00160B84"/>
    <w:rsid w:val="00160CFE"/>
    <w:rsid w:val="00161017"/>
    <w:rsid w:val="001612EB"/>
    <w:rsid w:val="001613DD"/>
    <w:rsid w:val="0016303D"/>
    <w:rsid w:val="001632A6"/>
    <w:rsid w:val="00163EB2"/>
    <w:rsid w:val="00163FCC"/>
    <w:rsid w:val="00164AA0"/>
    <w:rsid w:val="00164DDA"/>
    <w:rsid w:val="00165007"/>
    <w:rsid w:val="001650B5"/>
    <w:rsid w:val="001655BB"/>
    <w:rsid w:val="001656CC"/>
    <w:rsid w:val="001657DB"/>
    <w:rsid w:val="001662B7"/>
    <w:rsid w:val="001663C7"/>
    <w:rsid w:val="00166D5B"/>
    <w:rsid w:val="0016712C"/>
    <w:rsid w:val="00167778"/>
    <w:rsid w:val="00167CCA"/>
    <w:rsid w:val="00167E5F"/>
    <w:rsid w:val="00170101"/>
    <w:rsid w:val="0017021A"/>
    <w:rsid w:val="001705EE"/>
    <w:rsid w:val="00170703"/>
    <w:rsid w:val="00170DDC"/>
    <w:rsid w:val="0017118D"/>
    <w:rsid w:val="001712CC"/>
    <w:rsid w:val="00171786"/>
    <w:rsid w:val="001719E0"/>
    <w:rsid w:val="00171AF6"/>
    <w:rsid w:val="001725FD"/>
    <w:rsid w:val="00172A27"/>
    <w:rsid w:val="00172F22"/>
    <w:rsid w:val="0017315F"/>
    <w:rsid w:val="001735C7"/>
    <w:rsid w:val="00174784"/>
    <w:rsid w:val="001747BE"/>
    <w:rsid w:val="00174FA2"/>
    <w:rsid w:val="0017542C"/>
    <w:rsid w:val="001758D4"/>
    <w:rsid w:val="00176313"/>
    <w:rsid w:val="001763B3"/>
    <w:rsid w:val="0017684A"/>
    <w:rsid w:val="001772C1"/>
    <w:rsid w:val="00177F6F"/>
    <w:rsid w:val="00181A44"/>
    <w:rsid w:val="00181A50"/>
    <w:rsid w:val="00182310"/>
    <w:rsid w:val="00182420"/>
    <w:rsid w:val="00182ADF"/>
    <w:rsid w:val="00182D78"/>
    <w:rsid w:val="00183235"/>
    <w:rsid w:val="00183978"/>
    <w:rsid w:val="00183AEF"/>
    <w:rsid w:val="00184092"/>
    <w:rsid w:val="00184D3D"/>
    <w:rsid w:val="00184E31"/>
    <w:rsid w:val="001859FC"/>
    <w:rsid w:val="00186513"/>
    <w:rsid w:val="00187FD8"/>
    <w:rsid w:val="00190C4E"/>
    <w:rsid w:val="00191584"/>
    <w:rsid w:val="001916C6"/>
    <w:rsid w:val="00193798"/>
    <w:rsid w:val="00193E13"/>
    <w:rsid w:val="00194E2F"/>
    <w:rsid w:val="00195094"/>
    <w:rsid w:val="00195167"/>
    <w:rsid w:val="00195A86"/>
    <w:rsid w:val="001965A7"/>
    <w:rsid w:val="001968D7"/>
    <w:rsid w:val="001969F2"/>
    <w:rsid w:val="00196B43"/>
    <w:rsid w:val="00196D70"/>
    <w:rsid w:val="00197580"/>
    <w:rsid w:val="001A01B6"/>
    <w:rsid w:val="001A1D09"/>
    <w:rsid w:val="001A1F58"/>
    <w:rsid w:val="001A25AA"/>
    <w:rsid w:val="001A25C8"/>
    <w:rsid w:val="001A3FFB"/>
    <w:rsid w:val="001A4D48"/>
    <w:rsid w:val="001A52D7"/>
    <w:rsid w:val="001A5A88"/>
    <w:rsid w:val="001A5DA8"/>
    <w:rsid w:val="001A6AB8"/>
    <w:rsid w:val="001A78EC"/>
    <w:rsid w:val="001A7E1A"/>
    <w:rsid w:val="001B045F"/>
    <w:rsid w:val="001B0589"/>
    <w:rsid w:val="001B0755"/>
    <w:rsid w:val="001B0E53"/>
    <w:rsid w:val="001B0ED0"/>
    <w:rsid w:val="001B20DE"/>
    <w:rsid w:val="001B2262"/>
    <w:rsid w:val="001B2A98"/>
    <w:rsid w:val="001B3E88"/>
    <w:rsid w:val="001B4E34"/>
    <w:rsid w:val="001B5FB1"/>
    <w:rsid w:val="001B68FB"/>
    <w:rsid w:val="001B6FB1"/>
    <w:rsid w:val="001B7852"/>
    <w:rsid w:val="001C095D"/>
    <w:rsid w:val="001C11F4"/>
    <w:rsid w:val="001C18CF"/>
    <w:rsid w:val="001C1AF2"/>
    <w:rsid w:val="001C25B8"/>
    <w:rsid w:val="001C2721"/>
    <w:rsid w:val="001C2FF2"/>
    <w:rsid w:val="001C39AF"/>
    <w:rsid w:val="001C43FD"/>
    <w:rsid w:val="001C60EB"/>
    <w:rsid w:val="001C787A"/>
    <w:rsid w:val="001D0B2F"/>
    <w:rsid w:val="001D0F0B"/>
    <w:rsid w:val="001D273B"/>
    <w:rsid w:val="001D2BC7"/>
    <w:rsid w:val="001D37E3"/>
    <w:rsid w:val="001D43A8"/>
    <w:rsid w:val="001D4791"/>
    <w:rsid w:val="001D569F"/>
    <w:rsid w:val="001D5805"/>
    <w:rsid w:val="001D584D"/>
    <w:rsid w:val="001D59FD"/>
    <w:rsid w:val="001D7055"/>
    <w:rsid w:val="001D7576"/>
    <w:rsid w:val="001E0A60"/>
    <w:rsid w:val="001E0ABB"/>
    <w:rsid w:val="001E1578"/>
    <w:rsid w:val="001E1686"/>
    <w:rsid w:val="001E2199"/>
    <w:rsid w:val="001E2316"/>
    <w:rsid w:val="001E27B1"/>
    <w:rsid w:val="001E2F91"/>
    <w:rsid w:val="001E309E"/>
    <w:rsid w:val="001E39FB"/>
    <w:rsid w:val="001E3A76"/>
    <w:rsid w:val="001E442C"/>
    <w:rsid w:val="001E4E38"/>
    <w:rsid w:val="001E509F"/>
    <w:rsid w:val="001E57A3"/>
    <w:rsid w:val="001E5818"/>
    <w:rsid w:val="001E6A29"/>
    <w:rsid w:val="001E7AE0"/>
    <w:rsid w:val="001E7C22"/>
    <w:rsid w:val="001F003B"/>
    <w:rsid w:val="001F01E8"/>
    <w:rsid w:val="001F0BF3"/>
    <w:rsid w:val="001F0BF4"/>
    <w:rsid w:val="001F21F0"/>
    <w:rsid w:val="001F23A2"/>
    <w:rsid w:val="001F2717"/>
    <w:rsid w:val="001F3E40"/>
    <w:rsid w:val="001F3F3F"/>
    <w:rsid w:val="001F44F4"/>
    <w:rsid w:val="001F464D"/>
    <w:rsid w:val="001F55A2"/>
    <w:rsid w:val="001F5858"/>
    <w:rsid w:val="001F66E1"/>
    <w:rsid w:val="001F7D64"/>
    <w:rsid w:val="0020027A"/>
    <w:rsid w:val="002009B9"/>
    <w:rsid w:val="00201740"/>
    <w:rsid w:val="00202AFC"/>
    <w:rsid w:val="00203DAA"/>
    <w:rsid w:val="00204379"/>
    <w:rsid w:val="00204748"/>
    <w:rsid w:val="002048D6"/>
    <w:rsid w:val="0020499E"/>
    <w:rsid w:val="00205352"/>
    <w:rsid w:val="002053B5"/>
    <w:rsid w:val="00205919"/>
    <w:rsid w:val="00206B67"/>
    <w:rsid w:val="00206C9F"/>
    <w:rsid w:val="00207E76"/>
    <w:rsid w:val="002102BE"/>
    <w:rsid w:val="00210773"/>
    <w:rsid w:val="00210B1B"/>
    <w:rsid w:val="00210DE3"/>
    <w:rsid w:val="00211045"/>
    <w:rsid w:val="00212052"/>
    <w:rsid w:val="002126B6"/>
    <w:rsid w:val="002127AF"/>
    <w:rsid w:val="00212ED2"/>
    <w:rsid w:val="00213CE6"/>
    <w:rsid w:val="002143CB"/>
    <w:rsid w:val="00214D3C"/>
    <w:rsid w:val="00214ED8"/>
    <w:rsid w:val="00214FCE"/>
    <w:rsid w:val="00214FEB"/>
    <w:rsid w:val="00216BB7"/>
    <w:rsid w:val="00217173"/>
    <w:rsid w:val="00217560"/>
    <w:rsid w:val="00220CFB"/>
    <w:rsid w:val="0022121A"/>
    <w:rsid w:val="002225F6"/>
    <w:rsid w:val="00223964"/>
    <w:rsid w:val="002242FA"/>
    <w:rsid w:val="00225014"/>
    <w:rsid w:val="00225666"/>
    <w:rsid w:val="00225741"/>
    <w:rsid w:val="00225BF3"/>
    <w:rsid w:val="00225E4F"/>
    <w:rsid w:val="00226B5C"/>
    <w:rsid w:val="00226DAF"/>
    <w:rsid w:val="00227BFF"/>
    <w:rsid w:val="00230300"/>
    <w:rsid w:val="00230467"/>
    <w:rsid w:val="00230BB3"/>
    <w:rsid w:val="002312B3"/>
    <w:rsid w:val="00231503"/>
    <w:rsid w:val="002315A6"/>
    <w:rsid w:val="00231D77"/>
    <w:rsid w:val="0023208F"/>
    <w:rsid w:val="00232405"/>
    <w:rsid w:val="00232CAA"/>
    <w:rsid w:val="002331C2"/>
    <w:rsid w:val="002335EA"/>
    <w:rsid w:val="0023377A"/>
    <w:rsid w:val="002340E8"/>
    <w:rsid w:val="002342AE"/>
    <w:rsid w:val="002342C9"/>
    <w:rsid w:val="00235211"/>
    <w:rsid w:val="00235D8A"/>
    <w:rsid w:val="00237186"/>
    <w:rsid w:val="00237361"/>
    <w:rsid w:val="002378EC"/>
    <w:rsid w:val="00237A5F"/>
    <w:rsid w:val="00237EE5"/>
    <w:rsid w:val="002402B6"/>
    <w:rsid w:val="002405D3"/>
    <w:rsid w:val="00240C9B"/>
    <w:rsid w:val="00240EE6"/>
    <w:rsid w:val="00242080"/>
    <w:rsid w:val="00242235"/>
    <w:rsid w:val="002428D6"/>
    <w:rsid w:val="00242E6A"/>
    <w:rsid w:val="002430EA"/>
    <w:rsid w:val="00243E14"/>
    <w:rsid w:val="00244534"/>
    <w:rsid w:val="0024503F"/>
    <w:rsid w:val="002450D1"/>
    <w:rsid w:val="002458F4"/>
    <w:rsid w:val="00246001"/>
    <w:rsid w:val="002464F5"/>
    <w:rsid w:val="0024679B"/>
    <w:rsid w:val="00247559"/>
    <w:rsid w:val="00250A45"/>
    <w:rsid w:val="00251F52"/>
    <w:rsid w:val="0025247A"/>
    <w:rsid w:val="0025297A"/>
    <w:rsid w:val="00253721"/>
    <w:rsid w:val="002547BE"/>
    <w:rsid w:val="00255253"/>
    <w:rsid w:val="002562F5"/>
    <w:rsid w:val="00256FF8"/>
    <w:rsid w:val="002571E6"/>
    <w:rsid w:val="00257B99"/>
    <w:rsid w:val="0026011F"/>
    <w:rsid w:val="00260822"/>
    <w:rsid w:val="00260977"/>
    <w:rsid w:val="002617EF"/>
    <w:rsid w:val="002629DD"/>
    <w:rsid w:val="0026507F"/>
    <w:rsid w:val="00265095"/>
    <w:rsid w:val="00265AEC"/>
    <w:rsid w:val="00266AB4"/>
    <w:rsid w:val="0027040C"/>
    <w:rsid w:val="00270464"/>
    <w:rsid w:val="00270741"/>
    <w:rsid w:val="0027204E"/>
    <w:rsid w:val="00272542"/>
    <w:rsid w:val="0027308E"/>
    <w:rsid w:val="002730B4"/>
    <w:rsid w:val="00273787"/>
    <w:rsid w:val="00274A62"/>
    <w:rsid w:val="00274D87"/>
    <w:rsid w:val="00276367"/>
    <w:rsid w:val="00277580"/>
    <w:rsid w:val="00277C34"/>
    <w:rsid w:val="00281EC4"/>
    <w:rsid w:val="00282451"/>
    <w:rsid w:val="00282536"/>
    <w:rsid w:val="00282D33"/>
    <w:rsid w:val="00282FB2"/>
    <w:rsid w:val="00283516"/>
    <w:rsid w:val="0028576A"/>
    <w:rsid w:val="0028662B"/>
    <w:rsid w:val="00287335"/>
    <w:rsid w:val="00287A00"/>
    <w:rsid w:val="00291DD9"/>
    <w:rsid w:val="00291E65"/>
    <w:rsid w:val="00291E79"/>
    <w:rsid w:val="00292263"/>
    <w:rsid w:val="00292964"/>
    <w:rsid w:val="00293231"/>
    <w:rsid w:val="002932D1"/>
    <w:rsid w:val="002935D3"/>
    <w:rsid w:val="00293C3F"/>
    <w:rsid w:val="00294556"/>
    <w:rsid w:val="00294EB9"/>
    <w:rsid w:val="002951D2"/>
    <w:rsid w:val="002959EC"/>
    <w:rsid w:val="00295D58"/>
    <w:rsid w:val="002968CF"/>
    <w:rsid w:val="0029695C"/>
    <w:rsid w:val="00296EF4"/>
    <w:rsid w:val="002972C0"/>
    <w:rsid w:val="002979DD"/>
    <w:rsid w:val="002A14AF"/>
    <w:rsid w:val="002A311A"/>
    <w:rsid w:val="002A34E5"/>
    <w:rsid w:val="002A3506"/>
    <w:rsid w:val="002A3C7A"/>
    <w:rsid w:val="002A3CBC"/>
    <w:rsid w:val="002A5106"/>
    <w:rsid w:val="002A565F"/>
    <w:rsid w:val="002A5CCC"/>
    <w:rsid w:val="002A64AF"/>
    <w:rsid w:val="002A6C3D"/>
    <w:rsid w:val="002A7DF0"/>
    <w:rsid w:val="002A7E11"/>
    <w:rsid w:val="002B0A1C"/>
    <w:rsid w:val="002B11C3"/>
    <w:rsid w:val="002B1B4E"/>
    <w:rsid w:val="002B1BA2"/>
    <w:rsid w:val="002B274A"/>
    <w:rsid w:val="002B2768"/>
    <w:rsid w:val="002B2FEC"/>
    <w:rsid w:val="002B3E2B"/>
    <w:rsid w:val="002B3E5C"/>
    <w:rsid w:val="002B3EDD"/>
    <w:rsid w:val="002B4E83"/>
    <w:rsid w:val="002B4FFB"/>
    <w:rsid w:val="002B5D76"/>
    <w:rsid w:val="002B6357"/>
    <w:rsid w:val="002B6BA6"/>
    <w:rsid w:val="002B6F01"/>
    <w:rsid w:val="002B7EBE"/>
    <w:rsid w:val="002C0753"/>
    <w:rsid w:val="002C076E"/>
    <w:rsid w:val="002C10A2"/>
    <w:rsid w:val="002C143C"/>
    <w:rsid w:val="002C1912"/>
    <w:rsid w:val="002C1B38"/>
    <w:rsid w:val="002C22BE"/>
    <w:rsid w:val="002C245F"/>
    <w:rsid w:val="002C2BBB"/>
    <w:rsid w:val="002C357E"/>
    <w:rsid w:val="002C3E9F"/>
    <w:rsid w:val="002C3EAE"/>
    <w:rsid w:val="002C3F11"/>
    <w:rsid w:val="002C40FF"/>
    <w:rsid w:val="002C44E9"/>
    <w:rsid w:val="002C477A"/>
    <w:rsid w:val="002C5C09"/>
    <w:rsid w:val="002C5CB1"/>
    <w:rsid w:val="002C5E13"/>
    <w:rsid w:val="002C5E97"/>
    <w:rsid w:val="002C5EBF"/>
    <w:rsid w:val="002C76FA"/>
    <w:rsid w:val="002C7CAD"/>
    <w:rsid w:val="002D03C0"/>
    <w:rsid w:val="002D0896"/>
    <w:rsid w:val="002D10B5"/>
    <w:rsid w:val="002D1786"/>
    <w:rsid w:val="002D3048"/>
    <w:rsid w:val="002D3294"/>
    <w:rsid w:val="002D47F3"/>
    <w:rsid w:val="002D4A33"/>
    <w:rsid w:val="002D55B4"/>
    <w:rsid w:val="002D5FFD"/>
    <w:rsid w:val="002D7383"/>
    <w:rsid w:val="002E017F"/>
    <w:rsid w:val="002E03E2"/>
    <w:rsid w:val="002E07ED"/>
    <w:rsid w:val="002E2799"/>
    <w:rsid w:val="002E2957"/>
    <w:rsid w:val="002E34C0"/>
    <w:rsid w:val="002E3A71"/>
    <w:rsid w:val="002E4C92"/>
    <w:rsid w:val="002E4FDC"/>
    <w:rsid w:val="002E549E"/>
    <w:rsid w:val="002E5791"/>
    <w:rsid w:val="002E62A7"/>
    <w:rsid w:val="002E63DD"/>
    <w:rsid w:val="002E64B2"/>
    <w:rsid w:val="002E66CF"/>
    <w:rsid w:val="002E68EC"/>
    <w:rsid w:val="002F0F07"/>
    <w:rsid w:val="002F15C4"/>
    <w:rsid w:val="002F217D"/>
    <w:rsid w:val="002F4178"/>
    <w:rsid w:val="002F41F8"/>
    <w:rsid w:val="002F6822"/>
    <w:rsid w:val="002F6F89"/>
    <w:rsid w:val="002F7096"/>
    <w:rsid w:val="002F7307"/>
    <w:rsid w:val="002F7560"/>
    <w:rsid w:val="002F7D01"/>
    <w:rsid w:val="00301671"/>
    <w:rsid w:val="003016B5"/>
    <w:rsid w:val="0030176D"/>
    <w:rsid w:val="00302500"/>
    <w:rsid w:val="00302711"/>
    <w:rsid w:val="0030392B"/>
    <w:rsid w:val="00304140"/>
    <w:rsid w:val="00304728"/>
    <w:rsid w:val="003047BC"/>
    <w:rsid w:val="00304B02"/>
    <w:rsid w:val="00304EE6"/>
    <w:rsid w:val="003052FD"/>
    <w:rsid w:val="00305807"/>
    <w:rsid w:val="0030606A"/>
    <w:rsid w:val="00306D72"/>
    <w:rsid w:val="00306DD9"/>
    <w:rsid w:val="00306E8F"/>
    <w:rsid w:val="003079E4"/>
    <w:rsid w:val="00307B64"/>
    <w:rsid w:val="00307CC0"/>
    <w:rsid w:val="0031093B"/>
    <w:rsid w:val="00311A39"/>
    <w:rsid w:val="00312365"/>
    <w:rsid w:val="0031267B"/>
    <w:rsid w:val="0031354E"/>
    <w:rsid w:val="00313747"/>
    <w:rsid w:val="003140F3"/>
    <w:rsid w:val="003153A6"/>
    <w:rsid w:val="0031588D"/>
    <w:rsid w:val="00316590"/>
    <w:rsid w:val="00316B96"/>
    <w:rsid w:val="003171CE"/>
    <w:rsid w:val="0032012F"/>
    <w:rsid w:val="00320747"/>
    <w:rsid w:val="003210E3"/>
    <w:rsid w:val="0032197D"/>
    <w:rsid w:val="00322663"/>
    <w:rsid w:val="003227EF"/>
    <w:rsid w:val="00323148"/>
    <w:rsid w:val="003232CA"/>
    <w:rsid w:val="003232CD"/>
    <w:rsid w:val="00323447"/>
    <w:rsid w:val="003241E3"/>
    <w:rsid w:val="00324345"/>
    <w:rsid w:val="00324986"/>
    <w:rsid w:val="00325133"/>
    <w:rsid w:val="00325EA2"/>
    <w:rsid w:val="003264E3"/>
    <w:rsid w:val="00326697"/>
    <w:rsid w:val="00326C09"/>
    <w:rsid w:val="00326DBE"/>
    <w:rsid w:val="00326FF8"/>
    <w:rsid w:val="003278C1"/>
    <w:rsid w:val="00327EC1"/>
    <w:rsid w:val="003306B6"/>
    <w:rsid w:val="003309CC"/>
    <w:rsid w:val="00330ACE"/>
    <w:rsid w:val="00331BE2"/>
    <w:rsid w:val="00332DED"/>
    <w:rsid w:val="00333ED6"/>
    <w:rsid w:val="0033444D"/>
    <w:rsid w:val="0033509F"/>
    <w:rsid w:val="00337EDC"/>
    <w:rsid w:val="003411D5"/>
    <w:rsid w:val="00341716"/>
    <w:rsid w:val="00341D06"/>
    <w:rsid w:val="00342E36"/>
    <w:rsid w:val="00343044"/>
    <w:rsid w:val="00343315"/>
    <w:rsid w:val="00343788"/>
    <w:rsid w:val="00343CEA"/>
    <w:rsid w:val="003442F4"/>
    <w:rsid w:val="0034476F"/>
    <w:rsid w:val="003449A1"/>
    <w:rsid w:val="00344A56"/>
    <w:rsid w:val="00344C67"/>
    <w:rsid w:val="00346FCC"/>
    <w:rsid w:val="00347840"/>
    <w:rsid w:val="00347BE6"/>
    <w:rsid w:val="00350356"/>
    <w:rsid w:val="003504FE"/>
    <w:rsid w:val="00350E13"/>
    <w:rsid w:val="00352463"/>
    <w:rsid w:val="00352801"/>
    <w:rsid w:val="0035322E"/>
    <w:rsid w:val="00353427"/>
    <w:rsid w:val="00354ADC"/>
    <w:rsid w:val="00354EF9"/>
    <w:rsid w:val="00354F38"/>
    <w:rsid w:val="00355CFF"/>
    <w:rsid w:val="00355ECB"/>
    <w:rsid w:val="003563F3"/>
    <w:rsid w:val="00356CF5"/>
    <w:rsid w:val="00356DBF"/>
    <w:rsid w:val="00357217"/>
    <w:rsid w:val="003573E8"/>
    <w:rsid w:val="00357CB8"/>
    <w:rsid w:val="003604DE"/>
    <w:rsid w:val="003604FF"/>
    <w:rsid w:val="0036055A"/>
    <w:rsid w:val="003605A3"/>
    <w:rsid w:val="00362FEA"/>
    <w:rsid w:val="0036319C"/>
    <w:rsid w:val="003636F6"/>
    <w:rsid w:val="003641CF"/>
    <w:rsid w:val="0036450B"/>
    <w:rsid w:val="00364B7C"/>
    <w:rsid w:val="00365895"/>
    <w:rsid w:val="0036590F"/>
    <w:rsid w:val="00365C9B"/>
    <w:rsid w:val="003668F9"/>
    <w:rsid w:val="00367213"/>
    <w:rsid w:val="0036733D"/>
    <w:rsid w:val="003673D3"/>
    <w:rsid w:val="003675D2"/>
    <w:rsid w:val="00367ABC"/>
    <w:rsid w:val="00367B48"/>
    <w:rsid w:val="00370631"/>
    <w:rsid w:val="003708DF"/>
    <w:rsid w:val="00370A2E"/>
    <w:rsid w:val="00371073"/>
    <w:rsid w:val="00371B9E"/>
    <w:rsid w:val="00371FD6"/>
    <w:rsid w:val="0037202A"/>
    <w:rsid w:val="0037370B"/>
    <w:rsid w:val="00373B68"/>
    <w:rsid w:val="00373CFF"/>
    <w:rsid w:val="0037422E"/>
    <w:rsid w:val="00374413"/>
    <w:rsid w:val="003753F1"/>
    <w:rsid w:val="00376848"/>
    <w:rsid w:val="00376E2D"/>
    <w:rsid w:val="003773A7"/>
    <w:rsid w:val="003819EE"/>
    <w:rsid w:val="003839BD"/>
    <w:rsid w:val="00385FBB"/>
    <w:rsid w:val="00386526"/>
    <w:rsid w:val="00386B49"/>
    <w:rsid w:val="00387150"/>
    <w:rsid w:val="00387B54"/>
    <w:rsid w:val="00387C2A"/>
    <w:rsid w:val="003933A4"/>
    <w:rsid w:val="00393854"/>
    <w:rsid w:val="00393EF7"/>
    <w:rsid w:val="00395436"/>
    <w:rsid w:val="0039578F"/>
    <w:rsid w:val="00395BA7"/>
    <w:rsid w:val="003964A1"/>
    <w:rsid w:val="0039735E"/>
    <w:rsid w:val="00397533"/>
    <w:rsid w:val="0039771F"/>
    <w:rsid w:val="00397FC5"/>
    <w:rsid w:val="003A06EB"/>
    <w:rsid w:val="003A0759"/>
    <w:rsid w:val="003A14F2"/>
    <w:rsid w:val="003A2BFB"/>
    <w:rsid w:val="003A2CB6"/>
    <w:rsid w:val="003A2CBB"/>
    <w:rsid w:val="003A2CE1"/>
    <w:rsid w:val="003A3E9B"/>
    <w:rsid w:val="003A41F8"/>
    <w:rsid w:val="003A5460"/>
    <w:rsid w:val="003A5D2C"/>
    <w:rsid w:val="003A5E6C"/>
    <w:rsid w:val="003A5F51"/>
    <w:rsid w:val="003A7431"/>
    <w:rsid w:val="003A7D18"/>
    <w:rsid w:val="003B11CA"/>
    <w:rsid w:val="003B134E"/>
    <w:rsid w:val="003B1AEE"/>
    <w:rsid w:val="003B1C1F"/>
    <w:rsid w:val="003B1C38"/>
    <w:rsid w:val="003B1CDF"/>
    <w:rsid w:val="003B28C2"/>
    <w:rsid w:val="003B2D16"/>
    <w:rsid w:val="003B2F96"/>
    <w:rsid w:val="003B31C9"/>
    <w:rsid w:val="003B357D"/>
    <w:rsid w:val="003B386B"/>
    <w:rsid w:val="003B39D1"/>
    <w:rsid w:val="003B4C6F"/>
    <w:rsid w:val="003B51F5"/>
    <w:rsid w:val="003B51F8"/>
    <w:rsid w:val="003B56ED"/>
    <w:rsid w:val="003B5A24"/>
    <w:rsid w:val="003B62F3"/>
    <w:rsid w:val="003B659C"/>
    <w:rsid w:val="003B7865"/>
    <w:rsid w:val="003C01CA"/>
    <w:rsid w:val="003C067F"/>
    <w:rsid w:val="003C1CBC"/>
    <w:rsid w:val="003C1E84"/>
    <w:rsid w:val="003C26D7"/>
    <w:rsid w:val="003C293B"/>
    <w:rsid w:val="003C2BB3"/>
    <w:rsid w:val="003C3603"/>
    <w:rsid w:val="003C4DEA"/>
    <w:rsid w:val="003C5342"/>
    <w:rsid w:val="003C5C8D"/>
    <w:rsid w:val="003C6699"/>
    <w:rsid w:val="003C6E6D"/>
    <w:rsid w:val="003C7021"/>
    <w:rsid w:val="003C7359"/>
    <w:rsid w:val="003C746E"/>
    <w:rsid w:val="003C77EB"/>
    <w:rsid w:val="003D0671"/>
    <w:rsid w:val="003D0B26"/>
    <w:rsid w:val="003D1D6D"/>
    <w:rsid w:val="003D1E07"/>
    <w:rsid w:val="003D236C"/>
    <w:rsid w:val="003D2811"/>
    <w:rsid w:val="003D2850"/>
    <w:rsid w:val="003D306E"/>
    <w:rsid w:val="003D3342"/>
    <w:rsid w:val="003D35A2"/>
    <w:rsid w:val="003D39BB"/>
    <w:rsid w:val="003D3E5C"/>
    <w:rsid w:val="003D4183"/>
    <w:rsid w:val="003D44A5"/>
    <w:rsid w:val="003D49CA"/>
    <w:rsid w:val="003D5252"/>
    <w:rsid w:val="003D668F"/>
    <w:rsid w:val="003D6E3B"/>
    <w:rsid w:val="003E157B"/>
    <w:rsid w:val="003E234B"/>
    <w:rsid w:val="003E23C3"/>
    <w:rsid w:val="003E420E"/>
    <w:rsid w:val="003E432C"/>
    <w:rsid w:val="003E4AC9"/>
    <w:rsid w:val="003E4D6D"/>
    <w:rsid w:val="003E5216"/>
    <w:rsid w:val="003E5474"/>
    <w:rsid w:val="003E5479"/>
    <w:rsid w:val="003E58AA"/>
    <w:rsid w:val="003E631B"/>
    <w:rsid w:val="003E68D9"/>
    <w:rsid w:val="003E6909"/>
    <w:rsid w:val="003E72D6"/>
    <w:rsid w:val="003E7EBC"/>
    <w:rsid w:val="003F08F0"/>
    <w:rsid w:val="003F0B69"/>
    <w:rsid w:val="003F0D30"/>
    <w:rsid w:val="003F1386"/>
    <w:rsid w:val="003F15BA"/>
    <w:rsid w:val="003F165E"/>
    <w:rsid w:val="003F19B7"/>
    <w:rsid w:val="003F1B5D"/>
    <w:rsid w:val="003F218F"/>
    <w:rsid w:val="003F2989"/>
    <w:rsid w:val="003F2E62"/>
    <w:rsid w:val="003F3600"/>
    <w:rsid w:val="003F3774"/>
    <w:rsid w:val="003F3ECE"/>
    <w:rsid w:val="003F3F07"/>
    <w:rsid w:val="003F55C9"/>
    <w:rsid w:val="003F5EA8"/>
    <w:rsid w:val="003F5EB4"/>
    <w:rsid w:val="003F6704"/>
    <w:rsid w:val="003F6BE0"/>
    <w:rsid w:val="003F7B1D"/>
    <w:rsid w:val="003F7DC8"/>
    <w:rsid w:val="00400338"/>
    <w:rsid w:val="00400E1E"/>
    <w:rsid w:val="004010BC"/>
    <w:rsid w:val="00401661"/>
    <w:rsid w:val="00402965"/>
    <w:rsid w:val="00403823"/>
    <w:rsid w:val="004042F9"/>
    <w:rsid w:val="004046C7"/>
    <w:rsid w:val="004052D8"/>
    <w:rsid w:val="004054C6"/>
    <w:rsid w:val="00405967"/>
    <w:rsid w:val="00406001"/>
    <w:rsid w:val="0040605A"/>
    <w:rsid w:val="0040742F"/>
    <w:rsid w:val="00407F41"/>
    <w:rsid w:val="00407F56"/>
    <w:rsid w:val="00410855"/>
    <w:rsid w:val="00411200"/>
    <w:rsid w:val="0041213C"/>
    <w:rsid w:val="004135D0"/>
    <w:rsid w:val="0041409C"/>
    <w:rsid w:val="0041426E"/>
    <w:rsid w:val="0041545F"/>
    <w:rsid w:val="00416015"/>
    <w:rsid w:val="004162E5"/>
    <w:rsid w:val="00416B34"/>
    <w:rsid w:val="00420420"/>
    <w:rsid w:val="004205E1"/>
    <w:rsid w:val="00420634"/>
    <w:rsid w:val="0042081F"/>
    <w:rsid w:val="004211C9"/>
    <w:rsid w:val="00421296"/>
    <w:rsid w:val="0042239E"/>
    <w:rsid w:val="0042563A"/>
    <w:rsid w:val="00425765"/>
    <w:rsid w:val="00426194"/>
    <w:rsid w:val="00426F7F"/>
    <w:rsid w:val="00427131"/>
    <w:rsid w:val="004277BA"/>
    <w:rsid w:val="00427E22"/>
    <w:rsid w:val="0043146E"/>
    <w:rsid w:val="0043176C"/>
    <w:rsid w:val="00433638"/>
    <w:rsid w:val="00433D47"/>
    <w:rsid w:val="00433E01"/>
    <w:rsid w:val="00434010"/>
    <w:rsid w:val="004355DD"/>
    <w:rsid w:val="004362E1"/>
    <w:rsid w:val="004408A6"/>
    <w:rsid w:val="0044102B"/>
    <w:rsid w:val="004412D0"/>
    <w:rsid w:val="00441565"/>
    <w:rsid w:val="00442074"/>
    <w:rsid w:val="00442167"/>
    <w:rsid w:val="004422EC"/>
    <w:rsid w:val="0044272F"/>
    <w:rsid w:val="00442815"/>
    <w:rsid w:val="00442B30"/>
    <w:rsid w:val="00444FE8"/>
    <w:rsid w:val="00445115"/>
    <w:rsid w:val="00445D9A"/>
    <w:rsid w:val="004469A9"/>
    <w:rsid w:val="004473EA"/>
    <w:rsid w:val="004473FE"/>
    <w:rsid w:val="00450275"/>
    <w:rsid w:val="004502D8"/>
    <w:rsid w:val="00451CA3"/>
    <w:rsid w:val="00452D8A"/>
    <w:rsid w:val="00453435"/>
    <w:rsid w:val="00453A4B"/>
    <w:rsid w:val="00454E9D"/>
    <w:rsid w:val="00455569"/>
    <w:rsid w:val="00455AF6"/>
    <w:rsid w:val="00455B3C"/>
    <w:rsid w:val="00455E6C"/>
    <w:rsid w:val="00456080"/>
    <w:rsid w:val="004566C5"/>
    <w:rsid w:val="00457648"/>
    <w:rsid w:val="00460046"/>
    <w:rsid w:val="004608B3"/>
    <w:rsid w:val="0046225E"/>
    <w:rsid w:val="00462652"/>
    <w:rsid w:val="00463B75"/>
    <w:rsid w:val="00463D29"/>
    <w:rsid w:val="00464A8D"/>
    <w:rsid w:val="004651C1"/>
    <w:rsid w:val="004653D3"/>
    <w:rsid w:val="00465A6B"/>
    <w:rsid w:val="004665C7"/>
    <w:rsid w:val="004667D5"/>
    <w:rsid w:val="00466F63"/>
    <w:rsid w:val="00467409"/>
    <w:rsid w:val="004678B9"/>
    <w:rsid w:val="0047158C"/>
    <w:rsid w:val="00471EB2"/>
    <w:rsid w:val="004742F2"/>
    <w:rsid w:val="0047439E"/>
    <w:rsid w:val="00474605"/>
    <w:rsid w:val="00474C99"/>
    <w:rsid w:val="00475629"/>
    <w:rsid w:val="00475CE0"/>
    <w:rsid w:val="0047604F"/>
    <w:rsid w:val="00476CE1"/>
    <w:rsid w:val="0047732E"/>
    <w:rsid w:val="004775BF"/>
    <w:rsid w:val="00477BC2"/>
    <w:rsid w:val="004801C8"/>
    <w:rsid w:val="0048048B"/>
    <w:rsid w:val="00480998"/>
    <w:rsid w:val="00480CB2"/>
    <w:rsid w:val="00480F34"/>
    <w:rsid w:val="004810C9"/>
    <w:rsid w:val="00481899"/>
    <w:rsid w:val="004819B5"/>
    <w:rsid w:val="00481A52"/>
    <w:rsid w:val="00481A6F"/>
    <w:rsid w:val="00481CAD"/>
    <w:rsid w:val="004820A1"/>
    <w:rsid w:val="00482369"/>
    <w:rsid w:val="00482A0D"/>
    <w:rsid w:val="00482B89"/>
    <w:rsid w:val="00483F4B"/>
    <w:rsid w:val="00483F8A"/>
    <w:rsid w:val="00484415"/>
    <w:rsid w:val="004845A6"/>
    <w:rsid w:val="00485E06"/>
    <w:rsid w:val="00490624"/>
    <w:rsid w:val="0049090D"/>
    <w:rsid w:val="00490A7B"/>
    <w:rsid w:val="00490CD1"/>
    <w:rsid w:val="0049134C"/>
    <w:rsid w:val="004921C2"/>
    <w:rsid w:val="004925C8"/>
    <w:rsid w:val="00492B0C"/>
    <w:rsid w:val="00494993"/>
    <w:rsid w:val="00494A34"/>
    <w:rsid w:val="00495226"/>
    <w:rsid w:val="00495BB8"/>
    <w:rsid w:val="00496105"/>
    <w:rsid w:val="004968B7"/>
    <w:rsid w:val="00496ACD"/>
    <w:rsid w:val="00496AF0"/>
    <w:rsid w:val="004A1B90"/>
    <w:rsid w:val="004A2096"/>
    <w:rsid w:val="004A20D9"/>
    <w:rsid w:val="004A24A6"/>
    <w:rsid w:val="004A2DE8"/>
    <w:rsid w:val="004A3050"/>
    <w:rsid w:val="004A3D82"/>
    <w:rsid w:val="004A3FE4"/>
    <w:rsid w:val="004A489C"/>
    <w:rsid w:val="004A52BC"/>
    <w:rsid w:val="004A57E5"/>
    <w:rsid w:val="004A7ED0"/>
    <w:rsid w:val="004B07A4"/>
    <w:rsid w:val="004B41C6"/>
    <w:rsid w:val="004B61FC"/>
    <w:rsid w:val="004B759C"/>
    <w:rsid w:val="004B7A1A"/>
    <w:rsid w:val="004C0B2C"/>
    <w:rsid w:val="004C15D2"/>
    <w:rsid w:val="004C18F8"/>
    <w:rsid w:val="004C3E5D"/>
    <w:rsid w:val="004C424F"/>
    <w:rsid w:val="004C4640"/>
    <w:rsid w:val="004C46DF"/>
    <w:rsid w:val="004C4D43"/>
    <w:rsid w:val="004C5352"/>
    <w:rsid w:val="004C5C99"/>
    <w:rsid w:val="004C5ECA"/>
    <w:rsid w:val="004C6118"/>
    <w:rsid w:val="004C635E"/>
    <w:rsid w:val="004C696F"/>
    <w:rsid w:val="004C6BBE"/>
    <w:rsid w:val="004C7288"/>
    <w:rsid w:val="004C78D0"/>
    <w:rsid w:val="004C7DDF"/>
    <w:rsid w:val="004C7FC0"/>
    <w:rsid w:val="004D0196"/>
    <w:rsid w:val="004D0385"/>
    <w:rsid w:val="004D0890"/>
    <w:rsid w:val="004D0ABE"/>
    <w:rsid w:val="004D16BD"/>
    <w:rsid w:val="004D2173"/>
    <w:rsid w:val="004D244D"/>
    <w:rsid w:val="004D279B"/>
    <w:rsid w:val="004D338F"/>
    <w:rsid w:val="004D3604"/>
    <w:rsid w:val="004D3A12"/>
    <w:rsid w:val="004D3F5A"/>
    <w:rsid w:val="004D42B5"/>
    <w:rsid w:val="004D44B8"/>
    <w:rsid w:val="004D4CB9"/>
    <w:rsid w:val="004D5BE3"/>
    <w:rsid w:val="004D65EE"/>
    <w:rsid w:val="004D677C"/>
    <w:rsid w:val="004D691A"/>
    <w:rsid w:val="004D6C06"/>
    <w:rsid w:val="004D7A3E"/>
    <w:rsid w:val="004D7EDF"/>
    <w:rsid w:val="004E05EA"/>
    <w:rsid w:val="004E13AE"/>
    <w:rsid w:val="004E1687"/>
    <w:rsid w:val="004E1A2F"/>
    <w:rsid w:val="004E1AC2"/>
    <w:rsid w:val="004E1C0D"/>
    <w:rsid w:val="004E248D"/>
    <w:rsid w:val="004E306F"/>
    <w:rsid w:val="004E484E"/>
    <w:rsid w:val="004E4930"/>
    <w:rsid w:val="004E4DF5"/>
    <w:rsid w:val="004E55ED"/>
    <w:rsid w:val="004E5A54"/>
    <w:rsid w:val="004E5AB9"/>
    <w:rsid w:val="004E5C3B"/>
    <w:rsid w:val="004E5CF2"/>
    <w:rsid w:val="004E641D"/>
    <w:rsid w:val="004E65BF"/>
    <w:rsid w:val="004E666E"/>
    <w:rsid w:val="004E7BAF"/>
    <w:rsid w:val="004F014A"/>
    <w:rsid w:val="004F04A4"/>
    <w:rsid w:val="004F0E43"/>
    <w:rsid w:val="004F0E76"/>
    <w:rsid w:val="004F1269"/>
    <w:rsid w:val="004F148B"/>
    <w:rsid w:val="004F15DF"/>
    <w:rsid w:val="004F1C64"/>
    <w:rsid w:val="004F2214"/>
    <w:rsid w:val="004F2288"/>
    <w:rsid w:val="004F25EC"/>
    <w:rsid w:val="004F293E"/>
    <w:rsid w:val="004F2DE7"/>
    <w:rsid w:val="004F3EB8"/>
    <w:rsid w:val="004F3F0F"/>
    <w:rsid w:val="004F407B"/>
    <w:rsid w:val="004F494E"/>
    <w:rsid w:val="004F4973"/>
    <w:rsid w:val="004F49E7"/>
    <w:rsid w:val="004F5086"/>
    <w:rsid w:val="004F5F86"/>
    <w:rsid w:val="004F6E70"/>
    <w:rsid w:val="004F76EF"/>
    <w:rsid w:val="004F7AAC"/>
    <w:rsid w:val="005002DC"/>
    <w:rsid w:val="00501DC4"/>
    <w:rsid w:val="0050283A"/>
    <w:rsid w:val="00502E5B"/>
    <w:rsid w:val="00502F81"/>
    <w:rsid w:val="00503437"/>
    <w:rsid w:val="0050363F"/>
    <w:rsid w:val="00503F1B"/>
    <w:rsid w:val="00504712"/>
    <w:rsid w:val="00504D67"/>
    <w:rsid w:val="00504DEA"/>
    <w:rsid w:val="00505A25"/>
    <w:rsid w:val="00505C50"/>
    <w:rsid w:val="005069F0"/>
    <w:rsid w:val="00506A53"/>
    <w:rsid w:val="00510628"/>
    <w:rsid w:val="005109FE"/>
    <w:rsid w:val="00510BB7"/>
    <w:rsid w:val="005118B8"/>
    <w:rsid w:val="00511929"/>
    <w:rsid w:val="00512A62"/>
    <w:rsid w:val="00513B1C"/>
    <w:rsid w:val="005144D1"/>
    <w:rsid w:val="005150AE"/>
    <w:rsid w:val="0051529E"/>
    <w:rsid w:val="005157A9"/>
    <w:rsid w:val="0051588D"/>
    <w:rsid w:val="00515BE8"/>
    <w:rsid w:val="00515BF3"/>
    <w:rsid w:val="00515FD8"/>
    <w:rsid w:val="0051644D"/>
    <w:rsid w:val="00516CD3"/>
    <w:rsid w:val="005170B5"/>
    <w:rsid w:val="005205F6"/>
    <w:rsid w:val="00520A33"/>
    <w:rsid w:val="00521116"/>
    <w:rsid w:val="005224A1"/>
    <w:rsid w:val="00522A86"/>
    <w:rsid w:val="00522CE3"/>
    <w:rsid w:val="00523E7A"/>
    <w:rsid w:val="00524474"/>
    <w:rsid w:val="00524853"/>
    <w:rsid w:val="00525157"/>
    <w:rsid w:val="005251C0"/>
    <w:rsid w:val="00525E6C"/>
    <w:rsid w:val="00526134"/>
    <w:rsid w:val="0052636B"/>
    <w:rsid w:val="00526451"/>
    <w:rsid w:val="00527B33"/>
    <w:rsid w:val="00530BD6"/>
    <w:rsid w:val="00532103"/>
    <w:rsid w:val="00532674"/>
    <w:rsid w:val="00532F04"/>
    <w:rsid w:val="00533518"/>
    <w:rsid w:val="005341B3"/>
    <w:rsid w:val="005349E7"/>
    <w:rsid w:val="00534DBF"/>
    <w:rsid w:val="00535EA7"/>
    <w:rsid w:val="00536654"/>
    <w:rsid w:val="00536768"/>
    <w:rsid w:val="005371C1"/>
    <w:rsid w:val="00537834"/>
    <w:rsid w:val="005411C1"/>
    <w:rsid w:val="005420A4"/>
    <w:rsid w:val="00542AF9"/>
    <w:rsid w:val="00544BE2"/>
    <w:rsid w:val="00545106"/>
    <w:rsid w:val="005454D8"/>
    <w:rsid w:val="00545ACE"/>
    <w:rsid w:val="005467E3"/>
    <w:rsid w:val="005469FD"/>
    <w:rsid w:val="00546A69"/>
    <w:rsid w:val="00546CBB"/>
    <w:rsid w:val="005476C8"/>
    <w:rsid w:val="0054774A"/>
    <w:rsid w:val="00551107"/>
    <w:rsid w:val="005518B4"/>
    <w:rsid w:val="00552213"/>
    <w:rsid w:val="00552A8A"/>
    <w:rsid w:val="005546E1"/>
    <w:rsid w:val="00554DD6"/>
    <w:rsid w:val="005551FC"/>
    <w:rsid w:val="00555CC2"/>
    <w:rsid w:val="00556914"/>
    <w:rsid w:val="00556B9C"/>
    <w:rsid w:val="00557654"/>
    <w:rsid w:val="00557B3A"/>
    <w:rsid w:val="00557FC3"/>
    <w:rsid w:val="005606E1"/>
    <w:rsid w:val="00560A36"/>
    <w:rsid w:val="00560A79"/>
    <w:rsid w:val="00560F3D"/>
    <w:rsid w:val="005616BD"/>
    <w:rsid w:val="0056203E"/>
    <w:rsid w:val="005622DC"/>
    <w:rsid w:val="0056252C"/>
    <w:rsid w:val="005625F7"/>
    <w:rsid w:val="00562F43"/>
    <w:rsid w:val="00564004"/>
    <w:rsid w:val="005643E8"/>
    <w:rsid w:val="005644F8"/>
    <w:rsid w:val="00564D6C"/>
    <w:rsid w:val="005654BE"/>
    <w:rsid w:val="00565879"/>
    <w:rsid w:val="00566529"/>
    <w:rsid w:val="00567533"/>
    <w:rsid w:val="00567E21"/>
    <w:rsid w:val="005708B6"/>
    <w:rsid w:val="00571DBA"/>
    <w:rsid w:val="005723DC"/>
    <w:rsid w:val="005726F3"/>
    <w:rsid w:val="005749C7"/>
    <w:rsid w:val="00574DC1"/>
    <w:rsid w:val="00575895"/>
    <w:rsid w:val="00575C50"/>
    <w:rsid w:val="00575C8C"/>
    <w:rsid w:val="00577AE6"/>
    <w:rsid w:val="00577C3A"/>
    <w:rsid w:val="005802E6"/>
    <w:rsid w:val="00581D03"/>
    <w:rsid w:val="0058256A"/>
    <w:rsid w:val="00582816"/>
    <w:rsid w:val="00582EBB"/>
    <w:rsid w:val="00583539"/>
    <w:rsid w:val="005836E7"/>
    <w:rsid w:val="00584DB3"/>
    <w:rsid w:val="005876EF"/>
    <w:rsid w:val="005878B8"/>
    <w:rsid w:val="005879A0"/>
    <w:rsid w:val="00587E23"/>
    <w:rsid w:val="00590341"/>
    <w:rsid w:val="005905B4"/>
    <w:rsid w:val="00590773"/>
    <w:rsid w:val="005915D7"/>
    <w:rsid w:val="005917E3"/>
    <w:rsid w:val="005930E6"/>
    <w:rsid w:val="00593C63"/>
    <w:rsid w:val="005946D2"/>
    <w:rsid w:val="00594786"/>
    <w:rsid w:val="00594BFF"/>
    <w:rsid w:val="00595521"/>
    <w:rsid w:val="00595E76"/>
    <w:rsid w:val="005961E3"/>
    <w:rsid w:val="005967A6"/>
    <w:rsid w:val="005967EE"/>
    <w:rsid w:val="005977A9"/>
    <w:rsid w:val="005A0B3D"/>
    <w:rsid w:val="005A1471"/>
    <w:rsid w:val="005A1A98"/>
    <w:rsid w:val="005A2394"/>
    <w:rsid w:val="005A2822"/>
    <w:rsid w:val="005A3ADA"/>
    <w:rsid w:val="005A4528"/>
    <w:rsid w:val="005A4845"/>
    <w:rsid w:val="005A4E57"/>
    <w:rsid w:val="005A5140"/>
    <w:rsid w:val="005A5DF1"/>
    <w:rsid w:val="005A6080"/>
    <w:rsid w:val="005A63E9"/>
    <w:rsid w:val="005A6690"/>
    <w:rsid w:val="005A66AD"/>
    <w:rsid w:val="005A68EE"/>
    <w:rsid w:val="005A6B52"/>
    <w:rsid w:val="005A71F4"/>
    <w:rsid w:val="005A75BB"/>
    <w:rsid w:val="005B0817"/>
    <w:rsid w:val="005B0D5E"/>
    <w:rsid w:val="005B10DB"/>
    <w:rsid w:val="005B1867"/>
    <w:rsid w:val="005B1880"/>
    <w:rsid w:val="005B1CE1"/>
    <w:rsid w:val="005B3E38"/>
    <w:rsid w:val="005B4213"/>
    <w:rsid w:val="005B47D1"/>
    <w:rsid w:val="005B5026"/>
    <w:rsid w:val="005B5690"/>
    <w:rsid w:val="005B5B8E"/>
    <w:rsid w:val="005B5CAD"/>
    <w:rsid w:val="005B6045"/>
    <w:rsid w:val="005B6BD8"/>
    <w:rsid w:val="005B7B7A"/>
    <w:rsid w:val="005B7F8C"/>
    <w:rsid w:val="005C0C37"/>
    <w:rsid w:val="005C367E"/>
    <w:rsid w:val="005C4A34"/>
    <w:rsid w:val="005C4CDD"/>
    <w:rsid w:val="005C512B"/>
    <w:rsid w:val="005C613B"/>
    <w:rsid w:val="005C619B"/>
    <w:rsid w:val="005C6742"/>
    <w:rsid w:val="005C6E9F"/>
    <w:rsid w:val="005C6EB2"/>
    <w:rsid w:val="005C6F03"/>
    <w:rsid w:val="005C701B"/>
    <w:rsid w:val="005D0515"/>
    <w:rsid w:val="005D06A4"/>
    <w:rsid w:val="005D0E6E"/>
    <w:rsid w:val="005D1F81"/>
    <w:rsid w:val="005D2E87"/>
    <w:rsid w:val="005D4379"/>
    <w:rsid w:val="005D515E"/>
    <w:rsid w:val="005D6D07"/>
    <w:rsid w:val="005D6E1E"/>
    <w:rsid w:val="005D72EC"/>
    <w:rsid w:val="005D7671"/>
    <w:rsid w:val="005D7846"/>
    <w:rsid w:val="005D79BB"/>
    <w:rsid w:val="005E0481"/>
    <w:rsid w:val="005E0795"/>
    <w:rsid w:val="005E0A59"/>
    <w:rsid w:val="005E2553"/>
    <w:rsid w:val="005E30D1"/>
    <w:rsid w:val="005E4137"/>
    <w:rsid w:val="005E4AAD"/>
    <w:rsid w:val="005E4ABE"/>
    <w:rsid w:val="005E4DDB"/>
    <w:rsid w:val="005E5088"/>
    <w:rsid w:val="005E60F5"/>
    <w:rsid w:val="005E62D2"/>
    <w:rsid w:val="005E78A1"/>
    <w:rsid w:val="005E7B45"/>
    <w:rsid w:val="005F1172"/>
    <w:rsid w:val="005F118A"/>
    <w:rsid w:val="005F163A"/>
    <w:rsid w:val="005F2F4F"/>
    <w:rsid w:val="005F310E"/>
    <w:rsid w:val="005F3CFC"/>
    <w:rsid w:val="005F5026"/>
    <w:rsid w:val="005F5B90"/>
    <w:rsid w:val="005F65A8"/>
    <w:rsid w:val="005F6E77"/>
    <w:rsid w:val="005F73BC"/>
    <w:rsid w:val="005F77A5"/>
    <w:rsid w:val="00600FF3"/>
    <w:rsid w:val="0060143F"/>
    <w:rsid w:val="00601933"/>
    <w:rsid w:val="006020B8"/>
    <w:rsid w:val="006023A2"/>
    <w:rsid w:val="00603B15"/>
    <w:rsid w:val="00604625"/>
    <w:rsid w:val="00604F66"/>
    <w:rsid w:val="0060539A"/>
    <w:rsid w:val="0060542B"/>
    <w:rsid w:val="00605AC8"/>
    <w:rsid w:val="00605C87"/>
    <w:rsid w:val="0060658E"/>
    <w:rsid w:val="00606FCA"/>
    <w:rsid w:val="0060710A"/>
    <w:rsid w:val="00607642"/>
    <w:rsid w:val="00607E05"/>
    <w:rsid w:val="0061157C"/>
    <w:rsid w:val="00611BD5"/>
    <w:rsid w:val="00611D13"/>
    <w:rsid w:val="00611F78"/>
    <w:rsid w:val="00612249"/>
    <w:rsid w:val="006122CB"/>
    <w:rsid w:val="006124EC"/>
    <w:rsid w:val="006126C5"/>
    <w:rsid w:val="006134AD"/>
    <w:rsid w:val="006137A4"/>
    <w:rsid w:val="00613885"/>
    <w:rsid w:val="00613938"/>
    <w:rsid w:val="00613F6B"/>
    <w:rsid w:val="0061497F"/>
    <w:rsid w:val="00616B49"/>
    <w:rsid w:val="006171F9"/>
    <w:rsid w:val="00617997"/>
    <w:rsid w:val="00617E4F"/>
    <w:rsid w:val="006212A6"/>
    <w:rsid w:val="0062136D"/>
    <w:rsid w:val="00622BCB"/>
    <w:rsid w:val="0062313E"/>
    <w:rsid w:val="006234A2"/>
    <w:rsid w:val="00623FA2"/>
    <w:rsid w:val="006241A6"/>
    <w:rsid w:val="00624B01"/>
    <w:rsid w:val="006253D5"/>
    <w:rsid w:val="0062542D"/>
    <w:rsid w:val="00625F2E"/>
    <w:rsid w:val="006276D6"/>
    <w:rsid w:val="00627BCD"/>
    <w:rsid w:val="00627D66"/>
    <w:rsid w:val="00631079"/>
    <w:rsid w:val="006311DA"/>
    <w:rsid w:val="00631DCB"/>
    <w:rsid w:val="00631E35"/>
    <w:rsid w:val="00632425"/>
    <w:rsid w:val="006324C5"/>
    <w:rsid w:val="00632B80"/>
    <w:rsid w:val="00634EB6"/>
    <w:rsid w:val="0063533C"/>
    <w:rsid w:val="0063560C"/>
    <w:rsid w:val="00635A13"/>
    <w:rsid w:val="0063611A"/>
    <w:rsid w:val="006361B7"/>
    <w:rsid w:val="00636593"/>
    <w:rsid w:val="00637CB2"/>
    <w:rsid w:val="0064040F"/>
    <w:rsid w:val="00641AC2"/>
    <w:rsid w:val="00641B22"/>
    <w:rsid w:val="00642353"/>
    <w:rsid w:val="00642A69"/>
    <w:rsid w:val="00643DF1"/>
    <w:rsid w:val="00643E26"/>
    <w:rsid w:val="00644C53"/>
    <w:rsid w:val="006454A6"/>
    <w:rsid w:val="0064584F"/>
    <w:rsid w:val="00645B2A"/>
    <w:rsid w:val="006460DA"/>
    <w:rsid w:val="00646A98"/>
    <w:rsid w:val="00646E75"/>
    <w:rsid w:val="0064712A"/>
    <w:rsid w:val="006471BB"/>
    <w:rsid w:val="006474A7"/>
    <w:rsid w:val="006474AA"/>
    <w:rsid w:val="00647ABE"/>
    <w:rsid w:val="00650D4C"/>
    <w:rsid w:val="00651518"/>
    <w:rsid w:val="00651589"/>
    <w:rsid w:val="0065182B"/>
    <w:rsid w:val="00651BA8"/>
    <w:rsid w:val="0065339E"/>
    <w:rsid w:val="00653E9A"/>
    <w:rsid w:val="006543F4"/>
    <w:rsid w:val="00655BFA"/>
    <w:rsid w:val="00656083"/>
    <w:rsid w:val="00656B4B"/>
    <w:rsid w:val="00661B07"/>
    <w:rsid w:val="006625A5"/>
    <w:rsid w:val="0066293D"/>
    <w:rsid w:val="00663CC8"/>
    <w:rsid w:val="00663DF6"/>
    <w:rsid w:val="0066445B"/>
    <w:rsid w:val="006646D8"/>
    <w:rsid w:val="0066485B"/>
    <w:rsid w:val="00664A68"/>
    <w:rsid w:val="00665C3D"/>
    <w:rsid w:val="00665F28"/>
    <w:rsid w:val="006660FE"/>
    <w:rsid w:val="00666304"/>
    <w:rsid w:val="00667513"/>
    <w:rsid w:val="006679E8"/>
    <w:rsid w:val="0067091C"/>
    <w:rsid w:val="00670B47"/>
    <w:rsid w:val="006710AC"/>
    <w:rsid w:val="00671442"/>
    <w:rsid w:val="006716EA"/>
    <w:rsid w:val="00671DFD"/>
    <w:rsid w:val="00671EC4"/>
    <w:rsid w:val="006729B0"/>
    <w:rsid w:val="00673094"/>
    <w:rsid w:val="00673C8C"/>
    <w:rsid w:val="00674747"/>
    <w:rsid w:val="00674D0E"/>
    <w:rsid w:val="0067535B"/>
    <w:rsid w:val="00675543"/>
    <w:rsid w:val="00676830"/>
    <w:rsid w:val="00676D52"/>
    <w:rsid w:val="006773E9"/>
    <w:rsid w:val="00680F10"/>
    <w:rsid w:val="006811F9"/>
    <w:rsid w:val="00682AD7"/>
    <w:rsid w:val="006839CB"/>
    <w:rsid w:val="00684614"/>
    <w:rsid w:val="00684F77"/>
    <w:rsid w:val="006858D2"/>
    <w:rsid w:val="00686915"/>
    <w:rsid w:val="00686F4F"/>
    <w:rsid w:val="00686FEB"/>
    <w:rsid w:val="006873A5"/>
    <w:rsid w:val="006902DA"/>
    <w:rsid w:val="006904D5"/>
    <w:rsid w:val="00690F58"/>
    <w:rsid w:val="00690FD0"/>
    <w:rsid w:val="0069199E"/>
    <w:rsid w:val="00692BF2"/>
    <w:rsid w:val="006933F6"/>
    <w:rsid w:val="0069387D"/>
    <w:rsid w:val="00693A7B"/>
    <w:rsid w:val="00693B8F"/>
    <w:rsid w:val="00693F70"/>
    <w:rsid w:val="006941E8"/>
    <w:rsid w:val="0069435B"/>
    <w:rsid w:val="006943DE"/>
    <w:rsid w:val="006944FE"/>
    <w:rsid w:val="00694A49"/>
    <w:rsid w:val="00695482"/>
    <w:rsid w:val="00695EC0"/>
    <w:rsid w:val="0069653B"/>
    <w:rsid w:val="00697F33"/>
    <w:rsid w:val="006A02F8"/>
    <w:rsid w:val="006A0333"/>
    <w:rsid w:val="006A0435"/>
    <w:rsid w:val="006A144C"/>
    <w:rsid w:val="006A14EC"/>
    <w:rsid w:val="006A19C9"/>
    <w:rsid w:val="006A200A"/>
    <w:rsid w:val="006A233B"/>
    <w:rsid w:val="006A27F6"/>
    <w:rsid w:val="006A2CFB"/>
    <w:rsid w:val="006A3181"/>
    <w:rsid w:val="006A3524"/>
    <w:rsid w:val="006A3D73"/>
    <w:rsid w:val="006A425D"/>
    <w:rsid w:val="006A475C"/>
    <w:rsid w:val="006A482A"/>
    <w:rsid w:val="006A4AD6"/>
    <w:rsid w:val="006A53B8"/>
    <w:rsid w:val="006A6157"/>
    <w:rsid w:val="006A77D9"/>
    <w:rsid w:val="006A79C9"/>
    <w:rsid w:val="006B03F2"/>
    <w:rsid w:val="006B0DCC"/>
    <w:rsid w:val="006B0E28"/>
    <w:rsid w:val="006B1614"/>
    <w:rsid w:val="006B17ED"/>
    <w:rsid w:val="006B2397"/>
    <w:rsid w:val="006B2AFC"/>
    <w:rsid w:val="006B2C52"/>
    <w:rsid w:val="006B2CC2"/>
    <w:rsid w:val="006B3CA4"/>
    <w:rsid w:val="006B3DA0"/>
    <w:rsid w:val="006B42CD"/>
    <w:rsid w:val="006B4959"/>
    <w:rsid w:val="006B5031"/>
    <w:rsid w:val="006B53D3"/>
    <w:rsid w:val="006B5A26"/>
    <w:rsid w:val="006B5DB1"/>
    <w:rsid w:val="006B5DCA"/>
    <w:rsid w:val="006B61D0"/>
    <w:rsid w:val="006B67DB"/>
    <w:rsid w:val="006B6921"/>
    <w:rsid w:val="006B77CE"/>
    <w:rsid w:val="006B7912"/>
    <w:rsid w:val="006C062B"/>
    <w:rsid w:val="006C20D9"/>
    <w:rsid w:val="006C2B56"/>
    <w:rsid w:val="006C2C38"/>
    <w:rsid w:val="006C2F87"/>
    <w:rsid w:val="006C2FBC"/>
    <w:rsid w:val="006C3E82"/>
    <w:rsid w:val="006C5876"/>
    <w:rsid w:val="006C5F07"/>
    <w:rsid w:val="006C675A"/>
    <w:rsid w:val="006C6A41"/>
    <w:rsid w:val="006C7041"/>
    <w:rsid w:val="006C73FD"/>
    <w:rsid w:val="006C77EC"/>
    <w:rsid w:val="006C79DA"/>
    <w:rsid w:val="006D0283"/>
    <w:rsid w:val="006D06B5"/>
    <w:rsid w:val="006D1253"/>
    <w:rsid w:val="006D1E6B"/>
    <w:rsid w:val="006D26A7"/>
    <w:rsid w:val="006D2A51"/>
    <w:rsid w:val="006D33C0"/>
    <w:rsid w:val="006D385A"/>
    <w:rsid w:val="006D4725"/>
    <w:rsid w:val="006D4A88"/>
    <w:rsid w:val="006D4E91"/>
    <w:rsid w:val="006D4F4A"/>
    <w:rsid w:val="006D5AC9"/>
    <w:rsid w:val="006D5EB4"/>
    <w:rsid w:val="006D6742"/>
    <w:rsid w:val="006D6F17"/>
    <w:rsid w:val="006D70DA"/>
    <w:rsid w:val="006D7269"/>
    <w:rsid w:val="006D7739"/>
    <w:rsid w:val="006D7C1C"/>
    <w:rsid w:val="006E01E1"/>
    <w:rsid w:val="006E0317"/>
    <w:rsid w:val="006E0B5D"/>
    <w:rsid w:val="006E103B"/>
    <w:rsid w:val="006E13BE"/>
    <w:rsid w:val="006E1442"/>
    <w:rsid w:val="006E2B55"/>
    <w:rsid w:val="006E3041"/>
    <w:rsid w:val="006E30CC"/>
    <w:rsid w:val="006E367E"/>
    <w:rsid w:val="006E383B"/>
    <w:rsid w:val="006E4198"/>
    <w:rsid w:val="006E4425"/>
    <w:rsid w:val="006E4B9D"/>
    <w:rsid w:val="006E4BFC"/>
    <w:rsid w:val="006E4DEC"/>
    <w:rsid w:val="006E4FE5"/>
    <w:rsid w:val="006E51E2"/>
    <w:rsid w:val="006E56F4"/>
    <w:rsid w:val="006E56F7"/>
    <w:rsid w:val="006E5A01"/>
    <w:rsid w:val="006E5BB6"/>
    <w:rsid w:val="006F0ADD"/>
    <w:rsid w:val="006F0F42"/>
    <w:rsid w:val="006F17C3"/>
    <w:rsid w:val="006F1CCA"/>
    <w:rsid w:val="006F2063"/>
    <w:rsid w:val="006F2E78"/>
    <w:rsid w:val="006F31C0"/>
    <w:rsid w:val="006F331A"/>
    <w:rsid w:val="006F3E59"/>
    <w:rsid w:val="006F43C8"/>
    <w:rsid w:val="006F509B"/>
    <w:rsid w:val="006F63A0"/>
    <w:rsid w:val="006F6457"/>
    <w:rsid w:val="006F6958"/>
    <w:rsid w:val="006F6A32"/>
    <w:rsid w:val="006F6BCA"/>
    <w:rsid w:val="006F6FAD"/>
    <w:rsid w:val="006F7247"/>
    <w:rsid w:val="006F764F"/>
    <w:rsid w:val="006F79CB"/>
    <w:rsid w:val="006F7A0E"/>
    <w:rsid w:val="006F7E8A"/>
    <w:rsid w:val="00700546"/>
    <w:rsid w:val="00701DC6"/>
    <w:rsid w:val="00702818"/>
    <w:rsid w:val="00704EE2"/>
    <w:rsid w:val="007050BF"/>
    <w:rsid w:val="007052D6"/>
    <w:rsid w:val="00705578"/>
    <w:rsid w:val="00707062"/>
    <w:rsid w:val="007079FC"/>
    <w:rsid w:val="00707D27"/>
    <w:rsid w:val="0071044A"/>
    <w:rsid w:val="00710D9B"/>
    <w:rsid w:val="007124A3"/>
    <w:rsid w:val="00712721"/>
    <w:rsid w:val="00712D65"/>
    <w:rsid w:val="007131AD"/>
    <w:rsid w:val="00713B30"/>
    <w:rsid w:val="00713CD3"/>
    <w:rsid w:val="00714B8A"/>
    <w:rsid w:val="00715117"/>
    <w:rsid w:val="00715A52"/>
    <w:rsid w:val="007164DB"/>
    <w:rsid w:val="00716D52"/>
    <w:rsid w:val="00717BBD"/>
    <w:rsid w:val="007202C8"/>
    <w:rsid w:val="007205B5"/>
    <w:rsid w:val="0072180E"/>
    <w:rsid w:val="00721974"/>
    <w:rsid w:val="00722140"/>
    <w:rsid w:val="007224C5"/>
    <w:rsid w:val="00722B55"/>
    <w:rsid w:val="00722C09"/>
    <w:rsid w:val="00723298"/>
    <w:rsid w:val="0072444D"/>
    <w:rsid w:val="0072490B"/>
    <w:rsid w:val="0072545F"/>
    <w:rsid w:val="00725469"/>
    <w:rsid w:val="00725715"/>
    <w:rsid w:val="00725C09"/>
    <w:rsid w:val="00726940"/>
    <w:rsid w:val="00726C5B"/>
    <w:rsid w:val="00727040"/>
    <w:rsid w:val="00727B78"/>
    <w:rsid w:val="007301B8"/>
    <w:rsid w:val="00730985"/>
    <w:rsid w:val="0073173F"/>
    <w:rsid w:val="00731944"/>
    <w:rsid w:val="00732B90"/>
    <w:rsid w:val="00732E8B"/>
    <w:rsid w:val="00732F31"/>
    <w:rsid w:val="00733AE1"/>
    <w:rsid w:val="00734541"/>
    <w:rsid w:val="007345F6"/>
    <w:rsid w:val="007348F8"/>
    <w:rsid w:val="007349FB"/>
    <w:rsid w:val="0073516A"/>
    <w:rsid w:val="00735AD9"/>
    <w:rsid w:val="007361EE"/>
    <w:rsid w:val="007362B1"/>
    <w:rsid w:val="0073637A"/>
    <w:rsid w:val="007374E8"/>
    <w:rsid w:val="00740287"/>
    <w:rsid w:val="00740289"/>
    <w:rsid w:val="0074069D"/>
    <w:rsid w:val="00740D39"/>
    <w:rsid w:val="007427F5"/>
    <w:rsid w:val="0074324C"/>
    <w:rsid w:val="00743503"/>
    <w:rsid w:val="0074503F"/>
    <w:rsid w:val="007459CF"/>
    <w:rsid w:val="00746482"/>
    <w:rsid w:val="00747489"/>
    <w:rsid w:val="007504C8"/>
    <w:rsid w:val="007505EB"/>
    <w:rsid w:val="00751C49"/>
    <w:rsid w:val="0075217B"/>
    <w:rsid w:val="007522F5"/>
    <w:rsid w:val="00752696"/>
    <w:rsid w:val="00752DCA"/>
    <w:rsid w:val="00753C8E"/>
    <w:rsid w:val="00753DDE"/>
    <w:rsid w:val="00754A8A"/>
    <w:rsid w:val="00755683"/>
    <w:rsid w:val="007563F9"/>
    <w:rsid w:val="00756428"/>
    <w:rsid w:val="00756C3F"/>
    <w:rsid w:val="007576BA"/>
    <w:rsid w:val="0076011A"/>
    <w:rsid w:val="00760A12"/>
    <w:rsid w:val="00760F3C"/>
    <w:rsid w:val="007614DF"/>
    <w:rsid w:val="00761C30"/>
    <w:rsid w:val="00761DAA"/>
    <w:rsid w:val="007622ED"/>
    <w:rsid w:val="007632D1"/>
    <w:rsid w:val="00763901"/>
    <w:rsid w:val="00763D85"/>
    <w:rsid w:val="00764342"/>
    <w:rsid w:val="00764357"/>
    <w:rsid w:val="007643FA"/>
    <w:rsid w:val="007649B4"/>
    <w:rsid w:val="007649F1"/>
    <w:rsid w:val="00765CC7"/>
    <w:rsid w:val="00766419"/>
    <w:rsid w:val="0076699E"/>
    <w:rsid w:val="00766B0A"/>
    <w:rsid w:val="00767446"/>
    <w:rsid w:val="00767717"/>
    <w:rsid w:val="00770064"/>
    <w:rsid w:val="00770DC5"/>
    <w:rsid w:val="007710C8"/>
    <w:rsid w:val="00771263"/>
    <w:rsid w:val="00773D1D"/>
    <w:rsid w:val="00774976"/>
    <w:rsid w:val="00774987"/>
    <w:rsid w:val="00774A21"/>
    <w:rsid w:val="00774EEC"/>
    <w:rsid w:val="00775C2F"/>
    <w:rsid w:val="00775DCF"/>
    <w:rsid w:val="00775E88"/>
    <w:rsid w:val="0077618C"/>
    <w:rsid w:val="00776857"/>
    <w:rsid w:val="00776C7D"/>
    <w:rsid w:val="0077703B"/>
    <w:rsid w:val="00777139"/>
    <w:rsid w:val="0077767A"/>
    <w:rsid w:val="00777870"/>
    <w:rsid w:val="00777D33"/>
    <w:rsid w:val="007807B1"/>
    <w:rsid w:val="00780B23"/>
    <w:rsid w:val="00780B43"/>
    <w:rsid w:val="0078100F"/>
    <w:rsid w:val="00781A1E"/>
    <w:rsid w:val="00782159"/>
    <w:rsid w:val="0078399E"/>
    <w:rsid w:val="00784690"/>
    <w:rsid w:val="00784B60"/>
    <w:rsid w:val="00785EB0"/>
    <w:rsid w:val="007864B4"/>
    <w:rsid w:val="00786628"/>
    <w:rsid w:val="00786B56"/>
    <w:rsid w:val="00787A73"/>
    <w:rsid w:val="00787F80"/>
    <w:rsid w:val="00787FCC"/>
    <w:rsid w:val="00791653"/>
    <w:rsid w:val="007916D9"/>
    <w:rsid w:val="007922CA"/>
    <w:rsid w:val="007923FC"/>
    <w:rsid w:val="00792A9D"/>
    <w:rsid w:val="00793896"/>
    <w:rsid w:val="007941DF"/>
    <w:rsid w:val="00794444"/>
    <w:rsid w:val="0079468C"/>
    <w:rsid w:val="007955AC"/>
    <w:rsid w:val="00795793"/>
    <w:rsid w:val="00795DC1"/>
    <w:rsid w:val="00795FF3"/>
    <w:rsid w:val="0079613D"/>
    <w:rsid w:val="00796457"/>
    <w:rsid w:val="0079687A"/>
    <w:rsid w:val="00796EBB"/>
    <w:rsid w:val="00797228"/>
    <w:rsid w:val="00797AC4"/>
    <w:rsid w:val="00797C10"/>
    <w:rsid w:val="007A0A33"/>
    <w:rsid w:val="007A163A"/>
    <w:rsid w:val="007A1A9E"/>
    <w:rsid w:val="007A1B96"/>
    <w:rsid w:val="007A251E"/>
    <w:rsid w:val="007A3AC0"/>
    <w:rsid w:val="007A420B"/>
    <w:rsid w:val="007A46E3"/>
    <w:rsid w:val="007A4ED9"/>
    <w:rsid w:val="007A517D"/>
    <w:rsid w:val="007A5684"/>
    <w:rsid w:val="007A56D2"/>
    <w:rsid w:val="007A56F1"/>
    <w:rsid w:val="007A5705"/>
    <w:rsid w:val="007A6062"/>
    <w:rsid w:val="007A64F0"/>
    <w:rsid w:val="007A6CA0"/>
    <w:rsid w:val="007A714A"/>
    <w:rsid w:val="007A7A0E"/>
    <w:rsid w:val="007A7F30"/>
    <w:rsid w:val="007B039F"/>
    <w:rsid w:val="007B1E43"/>
    <w:rsid w:val="007B1E88"/>
    <w:rsid w:val="007B2E70"/>
    <w:rsid w:val="007B3ED8"/>
    <w:rsid w:val="007B4359"/>
    <w:rsid w:val="007B4C10"/>
    <w:rsid w:val="007B4F3B"/>
    <w:rsid w:val="007B50E5"/>
    <w:rsid w:val="007B6179"/>
    <w:rsid w:val="007B6381"/>
    <w:rsid w:val="007B6557"/>
    <w:rsid w:val="007B67A8"/>
    <w:rsid w:val="007B68B2"/>
    <w:rsid w:val="007B7DD3"/>
    <w:rsid w:val="007C08D2"/>
    <w:rsid w:val="007C0AB2"/>
    <w:rsid w:val="007C0D74"/>
    <w:rsid w:val="007C0F6D"/>
    <w:rsid w:val="007C238C"/>
    <w:rsid w:val="007C2534"/>
    <w:rsid w:val="007C26C8"/>
    <w:rsid w:val="007C2AAF"/>
    <w:rsid w:val="007C348D"/>
    <w:rsid w:val="007C4C21"/>
    <w:rsid w:val="007C63BC"/>
    <w:rsid w:val="007C6FDE"/>
    <w:rsid w:val="007C75A1"/>
    <w:rsid w:val="007C7ADF"/>
    <w:rsid w:val="007C7D9A"/>
    <w:rsid w:val="007D0540"/>
    <w:rsid w:val="007D0EBE"/>
    <w:rsid w:val="007D14E5"/>
    <w:rsid w:val="007D1C44"/>
    <w:rsid w:val="007D1D15"/>
    <w:rsid w:val="007D2D93"/>
    <w:rsid w:val="007D2E86"/>
    <w:rsid w:val="007D3B2C"/>
    <w:rsid w:val="007D4369"/>
    <w:rsid w:val="007D6F08"/>
    <w:rsid w:val="007D6F12"/>
    <w:rsid w:val="007D74B2"/>
    <w:rsid w:val="007D7679"/>
    <w:rsid w:val="007D7947"/>
    <w:rsid w:val="007D7FA2"/>
    <w:rsid w:val="007E058F"/>
    <w:rsid w:val="007E2B8B"/>
    <w:rsid w:val="007E48B5"/>
    <w:rsid w:val="007E5B57"/>
    <w:rsid w:val="007E6121"/>
    <w:rsid w:val="007E6181"/>
    <w:rsid w:val="007E63A8"/>
    <w:rsid w:val="007E709E"/>
    <w:rsid w:val="007E709F"/>
    <w:rsid w:val="007E765F"/>
    <w:rsid w:val="007E7A56"/>
    <w:rsid w:val="007E7C21"/>
    <w:rsid w:val="007E7D9B"/>
    <w:rsid w:val="007F0774"/>
    <w:rsid w:val="007F087E"/>
    <w:rsid w:val="007F09D1"/>
    <w:rsid w:val="007F0B33"/>
    <w:rsid w:val="007F0B48"/>
    <w:rsid w:val="007F0BAD"/>
    <w:rsid w:val="007F13F4"/>
    <w:rsid w:val="007F1698"/>
    <w:rsid w:val="007F1B54"/>
    <w:rsid w:val="007F1C34"/>
    <w:rsid w:val="007F1F49"/>
    <w:rsid w:val="007F20ED"/>
    <w:rsid w:val="007F3330"/>
    <w:rsid w:val="007F3352"/>
    <w:rsid w:val="007F3C55"/>
    <w:rsid w:val="007F4CA3"/>
    <w:rsid w:val="007F647D"/>
    <w:rsid w:val="007F6D41"/>
    <w:rsid w:val="007F71DD"/>
    <w:rsid w:val="007F750D"/>
    <w:rsid w:val="007F794F"/>
    <w:rsid w:val="008005BD"/>
    <w:rsid w:val="00800AAB"/>
    <w:rsid w:val="0080130F"/>
    <w:rsid w:val="0080254C"/>
    <w:rsid w:val="008029B2"/>
    <w:rsid w:val="00802E9D"/>
    <w:rsid w:val="00803869"/>
    <w:rsid w:val="00804A56"/>
    <w:rsid w:val="00804FDD"/>
    <w:rsid w:val="0080545B"/>
    <w:rsid w:val="008059CB"/>
    <w:rsid w:val="00807215"/>
    <w:rsid w:val="0080786B"/>
    <w:rsid w:val="00810BBB"/>
    <w:rsid w:val="008117D0"/>
    <w:rsid w:val="0081236F"/>
    <w:rsid w:val="00812EB7"/>
    <w:rsid w:val="00813BC1"/>
    <w:rsid w:val="00813F40"/>
    <w:rsid w:val="008144F4"/>
    <w:rsid w:val="00814968"/>
    <w:rsid w:val="00814A49"/>
    <w:rsid w:val="00815F4C"/>
    <w:rsid w:val="00816F65"/>
    <w:rsid w:val="008172F6"/>
    <w:rsid w:val="00817AC1"/>
    <w:rsid w:val="00817AED"/>
    <w:rsid w:val="00817EED"/>
    <w:rsid w:val="0082109C"/>
    <w:rsid w:val="00821290"/>
    <w:rsid w:val="00822304"/>
    <w:rsid w:val="00822912"/>
    <w:rsid w:val="00822C2E"/>
    <w:rsid w:val="00822E7F"/>
    <w:rsid w:val="00822FC0"/>
    <w:rsid w:val="008230B9"/>
    <w:rsid w:val="008233AB"/>
    <w:rsid w:val="00823558"/>
    <w:rsid w:val="00824B7F"/>
    <w:rsid w:val="00824BD3"/>
    <w:rsid w:val="0082574E"/>
    <w:rsid w:val="00825B8F"/>
    <w:rsid w:val="00826020"/>
    <w:rsid w:val="00826240"/>
    <w:rsid w:val="00826A78"/>
    <w:rsid w:val="00826B17"/>
    <w:rsid w:val="00826B97"/>
    <w:rsid w:val="00826BDA"/>
    <w:rsid w:val="0082730A"/>
    <w:rsid w:val="00830052"/>
    <w:rsid w:val="008303DB"/>
    <w:rsid w:val="008319C0"/>
    <w:rsid w:val="00831E4F"/>
    <w:rsid w:val="00831F0B"/>
    <w:rsid w:val="008324A8"/>
    <w:rsid w:val="00834886"/>
    <w:rsid w:val="00837A14"/>
    <w:rsid w:val="00837F83"/>
    <w:rsid w:val="008409E1"/>
    <w:rsid w:val="00840E42"/>
    <w:rsid w:val="00841409"/>
    <w:rsid w:val="00841BCB"/>
    <w:rsid w:val="00842722"/>
    <w:rsid w:val="00842CA3"/>
    <w:rsid w:val="00844B7E"/>
    <w:rsid w:val="00844F2F"/>
    <w:rsid w:val="00846521"/>
    <w:rsid w:val="00846CE8"/>
    <w:rsid w:val="00846F8D"/>
    <w:rsid w:val="00847048"/>
    <w:rsid w:val="008471C4"/>
    <w:rsid w:val="00847385"/>
    <w:rsid w:val="00847843"/>
    <w:rsid w:val="00847A88"/>
    <w:rsid w:val="00850B27"/>
    <w:rsid w:val="008511D4"/>
    <w:rsid w:val="008517F6"/>
    <w:rsid w:val="008519B3"/>
    <w:rsid w:val="00851AE6"/>
    <w:rsid w:val="00851C77"/>
    <w:rsid w:val="00851D97"/>
    <w:rsid w:val="008522D3"/>
    <w:rsid w:val="008524D2"/>
    <w:rsid w:val="0085386D"/>
    <w:rsid w:val="00853C94"/>
    <w:rsid w:val="00854076"/>
    <w:rsid w:val="008541CE"/>
    <w:rsid w:val="00854ADE"/>
    <w:rsid w:val="008553B2"/>
    <w:rsid w:val="008553C1"/>
    <w:rsid w:val="0085572E"/>
    <w:rsid w:val="008557ED"/>
    <w:rsid w:val="00855903"/>
    <w:rsid w:val="00855E7C"/>
    <w:rsid w:val="00857D30"/>
    <w:rsid w:val="00861B88"/>
    <w:rsid w:val="00861F7D"/>
    <w:rsid w:val="00862C05"/>
    <w:rsid w:val="00863F16"/>
    <w:rsid w:val="00864094"/>
    <w:rsid w:val="0086504F"/>
    <w:rsid w:val="008655DA"/>
    <w:rsid w:val="008656C6"/>
    <w:rsid w:val="00866CE1"/>
    <w:rsid w:val="00866EC9"/>
    <w:rsid w:val="0087025B"/>
    <w:rsid w:val="008704DC"/>
    <w:rsid w:val="00870E1A"/>
    <w:rsid w:val="00871CF5"/>
    <w:rsid w:val="008724E9"/>
    <w:rsid w:val="00872538"/>
    <w:rsid w:val="008737AD"/>
    <w:rsid w:val="00873FCF"/>
    <w:rsid w:val="008744BC"/>
    <w:rsid w:val="008744D1"/>
    <w:rsid w:val="0087481D"/>
    <w:rsid w:val="00875709"/>
    <w:rsid w:val="00876C30"/>
    <w:rsid w:val="00876DA6"/>
    <w:rsid w:val="00880B93"/>
    <w:rsid w:val="00882313"/>
    <w:rsid w:val="00882928"/>
    <w:rsid w:val="0088341C"/>
    <w:rsid w:val="008842BB"/>
    <w:rsid w:val="0088589D"/>
    <w:rsid w:val="00886116"/>
    <w:rsid w:val="0088733A"/>
    <w:rsid w:val="0088749D"/>
    <w:rsid w:val="00887CEB"/>
    <w:rsid w:val="00887E72"/>
    <w:rsid w:val="00887FDD"/>
    <w:rsid w:val="008901E6"/>
    <w:rsid w:val="008909A8"/>
    <w:rsid w:val="00890CA3"/>
    <w:rsid w:val="00890D42"/>
    <w:rsid w:val="0089145A"/>
    <w:rsid w:val="00891DD5"/>
    <w:rsid w:val="008924D9"/>
    <w:rsid w:val="00892CAB"/>
    <w:rsid w:val="008935C4"/>
    <w:rsid w:val="008937A3"/>
    <w:rsid w:val="00893991"/>
    <w:rsid w:val="00894308"/>
    <w:rsid w:val="00894725"/>
    <w:rsid w:val="00894DD5"/>
    <w:rsid w:val="008958BB"/>
    <w:rsid w:val="0089602C"/>
    <w:rsid w:val="00896A68"/>
    <w:rsid w:val="008979F0"/>
    <w:rsid w:val="00897ED4"/>
    <w:rsid w:val="008A01CB"/>
    <w:rsid w:val="008A05C8"/>
    <w:rsid w:val="008A06A2"/>
    <w:rsid w:val="008A0B98"/>
    <w:rsid w:val="008A105A"/>
    <w:rsid w:val="008A12E6"/>
    <w:rsid w:val="008A1C04"/>
    <w:rsid w:val="008A1E28"/>
    <w:rsid w:val="008A2438"/>
    <w:rsid w:val="008A2711"/>
    <w:rsid w:val="008A2779"/>
    <w:rsid w:val="008A3630"/>
    <w:rsid w:val="008A41BA"/>
    <w:rsid w:val="008A4836"/>
    <w:rsid w:val="008A4DCB"/>
    <w:rsid w:val="008A585B"/>
    <w:rsid w:val="008A6037"/>
    <w:rsid w:val="008A6F63"/>
    <w:rsid w:val="008A78C3"/>
    <w:rsid w:val="008B0295"/>
    <w:rsid w:val="008B0A9F"/>
    <w:rsid w:val="008B103B"/>
    <w:rsid w:val="008B1102"/>
    <w:rsid w:val="008B126F"/>
    <w:rsid w:val="008B17B6"/>
    <w:rsid w:val="008B193A"/>
    <w:rsid w:val="008B1963"/>
    <w:rsid w:val="008B2566"/>
    <w:rsid w:val="008B37A5"/>
    <w:rsid w:val="008B43E4"/>
    <w:rsid w:val="008B49B0"/>
    <w:rsid w:val="008B4B8C"/>
    <w:rsid w:val="008B525E"/>
    <w:rsid w:val="008B5820"/>
    <w:rsid w:val="008B5D73"/>
    <w:rsid w:val="008B6802"/>
    <w:rsid w:val="008B74D7"/>
    <w:rsid w:val="008C0FE3"/>
    <w:rsid w:val="008C1158"/>
    <w:rsid w:val="008C1957"/>
    <w:rsid w:val="008C2CB9"/>
    <w:rsid w:val="008C2E48"/>
    <w:rsid w:val="008C2ED5"/>
    <w:rsid w:val="008C39BC"/>
    <w:rsid w:val="008C4243"/>
    <w:rsid w:val="008C4DF4"/>
    <w:rsid w:val="008C57AC"/>
    <w:rsid w:val="008C6582"/>
    <w:rsid w:val="008C6838"/>
    <w:rsid w:val="008C6865"/>
    <w:rsid w:val="008C6CA2"/>
    <w:rsid w:val="008D0FF4"/>
    <w:rsid w:val="008D1021"/>
    <w:rsid w:val="008D10EE"/>
    <w:rsid w:val="008D150B"/>
    <w:rsid w:val="008D16C1"/>
    <w:rsid w:val="008D1A18"/>
    <w:rsid w:val="008D2A54"/>
    <w:rsid w:val="008D2C2A"/>
    <w:rsid w:val="008D3842"/>
    <w:rsid w:val="008D489F"/>
    <w:rsid w:val="008D49C8"/>
    <w:rsid w:val="008D4A72"/>
    <w:rsid w:val="008D611D"/>
    <w:rsid w:val="008D71C0"/>
    <w:rsid w:val="008D7410"/>
    <w:rsid w:val="008D76B0"/>
    <w:rsid w:val="008D7E5D"/>
    <w:rsid w:val="008E0F85"/>
    <w:rsid w:val="008E17AF"/>
    <w:rsid w:val="008E1A89"/>
    <w:rsid w:val="008E1E97"/>
    <w:rsid w:val="008E36A5"/>
    <w:rsid w:val="008E3767"/>
    <w:rsid w:val="008E3CB9"/>
    <w:rsid w:val="008E3F69"/>
    <w:rsid w:val="008E45D3"/>
    <w:rsid w:val="008E4F31"/>
    <w:rsid w:val="008E52F6"/>
    <w:rsid w:val="008E5B81"/>
    <w:rsid w:val="008E76FC"/>
    <w:rsid w:val="008F0680"/>
    <w:rsid w:val="008F0791"/>
    <w:rsid w:val="008F0832"/>
    <w:rsid w:val="008F22EF"/>
    <w:rsid w:val="008F2A5A"/>
    <w:rsid w:val="008F300E"/>
    <w:rsid w:val="008F31DB"/>
    <w:rsid w:val="008F398B"/>
    <w:rsid w:val="008F3EF5"/>
    <w:rsid w:val="008F45E7"/>
    <w:rsid w:val="008F4A59"/>
    <w:rsid w:val="008F50E2"/>
    <w:rsid w:val="008F5B12"/>
    <w:rsid w:val="008F61A4"/>
    <w:rsid w:val="008F673C"/>
    <w:rsid w:val="008F6AAD"/>
    <w:rsid w:val="008F7726"/>
    <w:rsid w:val="00901116"/>
    <w:rsid w:val="009023BF"/>
    <w:rsid w:val="009026E9"/>
    <w:rsid w:val="00902874"/>
    <w:rsid w:val="00904F76"/>
    <w:rsid w:val="00905495"/>
    <w:rsid w:val="00905846"/>
    <w:rsid w:val="0090632C"/>
    <w:rsid w:val="00906A9B"/>
    <w:rsid w:val="00906B13"/>
    <w:rsid w:val="00906CE8"/>
    <w:rsid w:val="009079F8"/>
    <w:rsid w:val="00910AB5"/>
    <w:rsid w:val="009113D7"/>
    <w:rsid w:val="009118A7"/>
    <w:rsid w:val="00911E91"/>
    <w:rsid w:val="00913C4B"/>
    <w:rsid w:val="009148EC"/>
    <w:rsid w:val="00914C7B"/>
    <w:rsid w:val="009150A4"/>
    <w:rsid w:val="0091587E"/>
    <w:rsid w:val="009220F6"/>
    <w:rsid w:val="00923861"/>
    <w:rsid w:val="00924652"/>
    <w:rsid w:val="00924753"/>
    <w:rsid w:val="0092550E"/>
    <w:rsid w:val="009255C6"/>
    <w:rsid w:val="0092599B"/>
    <w:rsid w:val="00925CEC"/>
    <w:rsid w:val="0092603D"/>
    <w:rsid w:val="009260D9"/>
    <w:rsid w:val="00926185"/>
    <w:rsid w:val="009270B4"/>
    <w:rsid w:val="00927190"/>
    <w:rsid w:val="0093076F"/>
    <w:rsid w:val="009307AB"/>
    <w:rsid w:val="00931729"/>
    <w:rsid w:val="009321C2"/>
    <w:rsid w:val="00932622"/>
    <w:rsid w:val="00932748"/>
    <w:rsid w:val="00932A99"/>
    <w:rsid w:val="00932AFC"/>
    <w:rsid w:val="0093370A"/>
    <w:rsid w:val="00934AC1"/>
    <w:rsid w:val="00935870"/>
    <w:rsid w:val="00935BA4"/>
    <w:rsid w:val="00935D33"/>
    <w:rsid w:val="00936BD2"/>
    <w:rsid w:val="00937A59"/>
    <w:rsid w:val="0094038C"/>
    <w:rsid w:val="00940CFF"/>
    <w:rsid w:val="0094270E"/>
    <w:rsid w:val="00943EBB"/>
    <w:rsid w:val="00944D3F"/>
    <w:rsid w:val="00945869"/>
    <w:rsid w:val="00945A84"/>
    <w:rsid w:val="00946AF5"/>
    <w:rsid w:val="00947BC9"/>
    <w:rsid w:val="00947F1D"/>
    <w:rsid w:val="0095095A"/>
    <w:rsid w:val="0095187E"/>
    <w:rsid w:val="00951DFB"/>
    <w:rsid w:val="00953603"/>
    <w:rsid w:val="00953663"/>
    <w:rsid w:val="00953808"/>
    <w:rsid w:val="00953D2D"/>
    <w:rsid w:val="00953E3A"/>
    <w:rsid w:val="009542F7"/>
    <w:rsid w:val="009544BF"/>
    <w:rsid w:val="00954992"/>
    <w:rsid w:val="009549F2"/>
    <w:rsid w:val="00954C21"/>
    <w:rsid w:val="00955DC6"/>
    <w:rsid w:val="0095619B"/>
    <w:rsid w:val="00956A06"/>
    <w:rsid w:val="00961136"/>
    <w:rsid w:val="00961D14"/>
    <w:rsid w:val="00962D5A"/>
    <w:rsid w:val="009630F7"/>
    <w:rsid w:val="00963598"/>
    <w:rsid w:val="00964EF2"/>
    <w:rsid w:val="009659CD"/>
    <w:rsid w:val="0096685C"/>
    <w:rsid w:val="00966E46"/>
    <w:rsid w:val="00967FE6"/>
    <w:rsid w:val="009707C2"/>
    <w:rsid w:val="00970B2E"/>
    <w:rsid w:val="0097108B"/>
    <w:rsid w:val="00971A63"/>
    <w:rsid w:val="00972B71"/>
    <w:rsid w:val="009734D4"/>
    <w:rsid w:val="00973CA2"/>
    <w:rsid w:val="00974045"/>
    <w:rsid w:val="009740DC"/>
    <w:rsid w:val="009743C1"/>
    <w:rsid w:val="00974C39"/>
    <w:rsid w:val="00974DE5"/>
    <w:rsid w:val="00974F18"/>
    <w:rsid w:val="00974F5F"/>
    <w:rsid w:val="0097510A"/>
    <w:rsid w:val="00975755"/>
    <w:rsid w:val="00975D97"/>
    <w:rsid w:val="00975EF9"/>
    <w:rsid w:val="009765DB"/>
    <w:rsid w:val="009773C6"/>
    <w:rsid w:val="009773C8"/>
    <w:rsid w:val="009811BB"/>
    <w:rsid w:val="00982C89"/>
    <w:rsid w:val="009842EE"/>
    <w:rsid w:val="00984C5F"/>
    <w:rsid w:val="00985433"/>
    <w:rsid w:val="009859D5"/>
    <w:rsid w:val="00987913"/>
    <w:rsid w:val="00987C48"/>
    <w:rsid w:val="0099000D"/>
    <w:rsid w:val="009916E5"/>
    <w:rsid w:val="00992C1B"/>
    <w:rsid w:val="00993077"/>
    <w:rsid w:val="009935B5"/>
    <w:rsid w:val="00993876"/>
    <w:rsid w:val="00993BC0"/>
    <w:rsid w:val="00994286"/>
    <w:rsid w:val="00994CDE"/>
    <w:rsid w:val="00995542"/>
    <w:rsid w:val="00996D2C"/>
    <w:rsid w:val="009A01D0"/>
    <w:rsid w:val="009A0AB5"/>
    <w:rsid w:val="009A60A5"/>
    <w:rsid w:val="009A71F0"/>
    <w:rsid w:val="009A7B57"/>
    <w:rsid w:val="009A7D0E"/>
    <w:rsid w:val="009B1124"/>
    <w:rsid w:val="009B1CF8"/>
    <w:rsid w:val="009B253B"/>
    <w:rsid w:val="009B256C"/>
    <w:rsid w:val="009B36B4"/>
    <w:rsid w:val="009B397D"/>
    <w:rsid w:val="009B3AC5"/>
    <w:rsid w:val="009B3E15"/>
    <w:rsid w:val="009B4484"/>
    <w:rsid w:val="009B59F1"/>
    <w:rsid w:val="009B7402"/>
    <w:rsid w:val="009B7D9D"/>
    <w:rsid w:val="009C047F"/>
    <w:rsid w:val="009C0DCB"/>
    <w:rsid w:val="009C2700"/>
    <w:rsid w:val="009C292F"/>
    <w:rsid w:val="009C2B88"/>
    <w:rsid w:val="009C3694"/>
    <w:rsid w:val="009C3F74"/>
    <w:rsid w:val="009C51CB"/>
    <w:rsid w:val="009C5F88"/>
    <w:rsid w:val="009C6D3B"/>
    <w:rsid w:val="009C6DB3"/>
    <w:rsid w:val="009C7CC8"/>
    <w:rsid w:val="009D09F7"/>
    <w:rsid w:val="009D1EAA"/>
    <w:rsid w:val="009D2856"/>
    <w:rsid w:val="009D38D4"/>
    <w:rsid w:val="009D3992"/>
    <w:rsid w:val="009D471F"/>
    <w:rsid w:val="009D47F8"/>
    <w:rsid w:val="009D4ABF"/>
    <w:rsid w:val="009D5641"/>
    <w:rsid w:val="009D6C4D"/>
    <w:rsid w:val="009D6DC4"/>
    <w:rsid w:val="009D7A81"/>
    <w:rsid w:val="009E02CF"/>
    <w:rsid w:val="009E1C6C"/>
    <w:rsid w:val="009E1D25"/>
    <w:rsid w:val="009E3036"/>
    <w:rsid w:val="009E3CED"/>
    <w:rsid w:val="009E4B1E"/>
    <w:rsid w:val="009E4E14"/>
    <w:rsid w:val="009E4EBC"/>
    <w:rsid w:val="009E4F6A"/>
    <w:rsid w:val="009E59D2"/>
    <w:rsid w:val="009E5DD7"/>
    <w:rsid w:val="009E61D2"/>
    <w:rsid w:val="009E67EE"/>
    <w:rsid w:val="009E7C3F"/>
    <w:rsid w:val="009F015D"/>
    <w:rsid w:val="009F0505"/>
    <w:rsid w:val="009F071D"/>
    <w:rsid w:val="009F0AC9"/>
    <w:rsid w:val="009F0D0B"/>
    <w:rsid w:val="009F1ECF"/>
    <w:rsid w:val="009F39C8"/>
    <w:rsid w:val="009F3EE3"/>
    <w:rsid w:val="009F5EFB"/>
    <w:rsid w:val="009F67FE"/>
    <w:rsid w:val="009F727C"/>
    <w:rsid w:val="009F78F0"/>
    <w:rsid w:val="009F7D5C"/>
    <w:rsid w:val="009F7F1F"/>
    <w:rsid w:val="00A00353"/>
    <w:rsid w:val="00A0051E"/>
    <w:rsid w:val="00A00DB1"/>
    <w:rsid w:val="00A02135"/>
    <w:rsid w:val="00A02621"/>
    <w:rsid w:val="00A02976"/>
    <w:rsid w:val="00A02B31"/>
    <w:rsid w:val="00A02D55"/>
    <w:rsid w:val="00A03A8D"/>
    <w:rsid w:val="00A04118"/>
    <w:rsid w:val="00A0427E"/>
    <w:rsid w:val="00A05A52"/>
    <w:rsid w:val="00A07B93"/>
    <w:rsid w:val="00A10456"/>
    <w:rsid w:val="00A108CB"/>
    <w:rsid w:val="00A10BBE"/>
    <w:rsid w:val="00A10F1C"/>
    <w:rsid w:val="00A1392D"/>
    <w:rsid w:val="00A13D67"/>
    <w:rsid w:val="00A141D4"/>
    <w:rsid w:val="00A1431A"/>
    <w:rsid w:val="00A146C4"/>
    <w:rsid w:val="00A14728"/>
    <w:rsid w:val="00A1491D"/>
    <w:rsid w:val="00A14A74"/>
    <w:rsid w:val="00A14BB6"/>
    <w:rsid w:val="00A14BCD"/>
    <w:rsid w:val="00A157FB"/>
    <w:rsid w:val="00A15DFA"/>
    <w:rsid w:val="00A16241"/>
    <w:rsid w:val="00A165D1"/>
    <w:rsid w:val="00A16AAB"/>
    <w:rsid w:val="00A16AF9"/>
    <w:rsid w:val="00A16F40"/>
    <w:rsid w:val="00A17254"/>
    <w:rsid w:val="00A205DF"/>
    <w:rsid w:val="00A21540"/>
    <w:rsid w:val="00A2170E"/>
    <w:rsid w:val="00A21729"/>
    <w:rsid w:val="00A21CE3"/>
    <w:rsid w:val="00A23505"/>
    <w:rsid w:val="00A236DE"/>
    <w:rsid w:val="00A23F2C"/>
    <w:rsid w:val="00A2439F"/>
    <w:rsid w:val="00A243CE"/>
    <w:rsid w:val="00A248F2"/>
    <w:rsid w:val="00A25439"/>
    <w:rsid w:val="00A25CB7"/>
    <w:rsid w:val="00A26A62"/>
    <w:rsid w:val="00A26AB9"/>
    <w:rsid w:val="00A30DD5"/>
    <w:rsid w:val="00A312EA"/>
    <w:rsid w:val="00A31424"/>
    <w:rsid w:val="00A31FEB"/>
    <w:rsid w:val="00A32176"/>
    <w:rsid w:val="00A32CF5"/>
    <w:rsid w:val="00A33692"/>
    <w:rsid w:val="00A338E7"/>
    <w:rsid w:val="00A33E1E"/>
    <w:rsid w:val="00A33FC8"/>
    <w:rsid w:val="00A350EF"/>
    <w:rsid w:val="00A3517C"/>
    <w:rsid w:val="00A36666"/>
    <w:rsid w:val="00A376D8"/>
    <w:rsid w:val="00A3777B"/>
    <w:rsid w:val="00A3782A"/>
    <w:rsid w:val="00A402AA"/>
    <w:rsid w:val="00A40370"/>
    <w:rsid w:val="00A41088"/>
    <w:rsid w:val="00A4183A"/>
    <w:rsid w:val="00A41D4E"/>
    <w:rsid w:val="00A41F7E"/>
    <w:rsid w:val="00A42D00"/>
    <w:rsid w:val="00A42FC9"/>
    <w:rsid w:val="00A4319C"/>
    <w:rsid w:val="00A44458"/>
    <w:rsid w:val="00A445B7"/>
    <w:rsid w:val="00A446C5"/>
    <w:rsid w:val="00A45DDC"/>
    <w:rsid w:val="00A45E51"/>
    <w:rsid w:val="00A46D61"/>
    <w:rsid w:val="00A47C91"/>
    <w:rsid w:val="00A50424"/>
    <w:rsid w:val="00A5156C"/>
    <w:rsid w:val="00A51DE9"/>
    <w:rsid w:val="00A52110"/>
    <w:rsid w:val="00A5257A"/>
    <w:rsid w:val="00A527CF"/>
    <w:rsid w:val="00A52A0A"/>
    <w:rsid w:val="00A52DB1"/>
    <w:rsid w:val="00A533CB"/>
    <w:rsid w:val="00A5363A"/>
    <w:rsid w:val="00A53ADC"/>
    <w:rsid w:val="00A53C6D"/>
    <w:rsid w:val="00A54380"/>
    <w:rsid w:val="00A54947"/>
    <w:rsid w:val="00A54A3E"/>
    <w:rsid w:val="00A54A40"/>
    <w:rsid w:val="00A551D4"/>
    <w:rsid w:val="00A5584C"/>
    <w:rsid w:val="00A5628A"/>
    <w:rsid w:val="00A573A9"/>
    <w:rsid w:val="00A57D4E"/>
    <w:rsid w:val="00A60C6C"/>
    <w:rsid w:val="00A61213"/>
    <w:rsid w:val="00A61410"/>
    <w:rsid w:val="00A616EF"/>
    <w:rsid w:val="00A6211D"/>
    <w:rsid w:val="00A62333"/>
    <w:rsid w:val="00A62B8C"/>
    <w:rsid w:val="00A62FEE"/>
    <w:rsid w:val="00A63B9A"/>
    <w:rsid w:val="00A63CD1"/>
    <w:rsid w:val="00A63F33"/>
    <w:rsid w:val="00A6467B"/>
    <w:rsid w:val="00A64D01"/>
    <w:rsid w:val="00A6503E"/>
    <w:rsid w:val="00A65969"/>
    <w:rsid w:val="00A667E4"/>
    <w:rsid w:val="00A6703B"/>
    <w:rsid w:val="00A67627"/>
    <w:rsid w:val="00A701F6"/>
    <w:rsid w:val="00A7035E"/>
    <w:rsid w:val="00A70748"/>
    <w:rsid w:val="00A70C72"/>
    <w:rsid w:val="00A719BC"/>
    <w:rsid w:val="00A71CAA"/>
    <w:rsid w:val="00A71F05"/>
    <w:rsid w:val="00A71FCD"/>
    <w:rsid w:val="00A72B79"/>
    <w:rsid w:val="00A72C39"/>
    <w:rsid w:val="00A72F25"/>
    <w:rsid w:val="00A734A5"/>
    <w:rsid w:val="00A73B91"/>
    <w:rsid w:val="00A73E33"/>
    <w:rsid w:val="00A73F7F"/>
    <w:rsid w:val="00A7439E"/>
    <w:rsid w:val="00A744E0"/>
    <w:rsid w:val="00A74602"/>
    <w:rsid w:val="00A74CD2"/>
    <w:rsid w:val="00A751DC"/>
    <w:rsid w:val="00A754DD"/>
    <w:rsid w:val="00A76180"/>
    <w:rsid w:val="00A7625F"/>
    <w:rsid w:val="00A76318"/>
    <w:rsid w:val="00A76648"/>
    <w:rsid w:val="00A81205"/>
    <w:rsid w:val="00A81629"/>
    <w:rsid w:val="00A81CC4"/>
    <w:rsid w:val="00A824E5"/>
    <w:rsid w:val="00A8260B"/>
    <w:rsid w:val="00A82998"/>
    <w:rsid w:val="00A82D9A"/>
    <w:rsid w:val="00A836BC"/>
    <w:rsid w:val="00A83AB2"/>
    <w:rsid w:val="00A848E1"/>
    <w:rsid w:val="00A85BAC"/>
    <w:rsid w:val="00A861D7"/>
    <w:rsid w:val="00A86459"/>
    <w:rsid w:val="00A868BE"/>
    <w:rsid w:val="00A873EF"/>
    <w:rsid w:val="00A874CD"/>
    <w:rsid w:val="00A876D6"/>
    <w:rsid w:val="00A901B8"/>
    <w:rsid w:val="00A9040C"/>
    <w:rsid w:val="00A91BD6"/>
    <w:rsid w:val="00A91D8F"/>
    <w:rsid w:val="00A9237F"/>
    <w:rsid w:val="00A92819"/>
    <w:rsid w:val="00A92965"/>
    <w:rsid w:val="00A92AB9"/>
    <w:rsid w:val="00A9301D"/>
    <w:rsid w:val="00A9426A"/>
    <w:rsid w:val="00A9427B"/>
    <w:rsid w:val="00A947F8"/>
    <w:rsid w:val="00A9577F"/>
    <w:rsid w:val="00A95D38"/>
    <w:rsid w:val="00A9668B"/>
    <w:rsid w:val="00A96BFB"/>
    <w:rsid w:val="00A970D8"/>
    <w:rsid w:val="00A97C80"/>
    <w:rsid w:val="00A97F2D"/>
    <w:rsid w:val="00AA003F"/>
    <w:rsid w:val="00AA07AF"/>
    <w:rsid w:val="00AA0B04"/>
    <w:rsid w:val="00AA0DF7"/>
    <w:rsid w:val="00AA120F"/>
    <w:rsid w:val="00AA1595"/>
    <w:rsid w:val="00AA1A04"/>
    <w:rsid w:val="00AA2FDC"/>
    <w:rsid w:val="00AA31CA"/>
    <w:rsid w:val="00AA4173"/>
    <w:rsid w:val="00AA4431"/>
    <w:rsid w:val="00AA45BF"/>
    <w:rsid w:val="00AA4B1A"/>
    <w:rsid w:val="00AA5D9B"/>
    <w:rsid w:val="00AA6699"/>
    <w:rsid w:val="00AA735A"/>
    <w:rsid w:val="00AB037A"/>
    <w:rsid w:val="00AB1045"/>
    <w:rsid w:val="00AB1880"/>
    <w:rsid w:val="00AB19BA"/>
    <w:rsid w:val="00AB1D6A"/>
    <w:rsid w:val="00AB2555"/>
    <w:rsid w:val="00AB2718"/>
    <w:rsid w:val="00AB356F"/>
    <w:rsid w:val="00AB3C5E"/>
    <w:rsid w:val="00AB3DBB"/>
    <w:rsid w:val="00AB620F"/>
    <w:rsid w:val="00AB6A15"/>
    <w:rsid w:val="00AB6A18"/>
    <w:rsid w:val="00AB6AFA"/>
    <w:rsid w:val="00AB7814"/>
    <w:rsid w:val="00AB7F2D"/>
    <w:rsid w:val="00AC03EB"/>
    <w:rsid w:val="00AC122A"/>
    <w:rsid w:val="00AC14F1"/>
    <w:rsid w:val="00AC195F"/>
    <w:rsid w:val="00AC1FF5"/>
    <w:rsid w:val="00AC24CB"/>
    <w:rsid w:val="00AC2DCA"/>
    <w:rsid w:val="00AC36F3"/>
    <w:rsid w:val="00AC38A6"/>
    <w:rsid w:val="00AC3BD2"/>
    <w:rsid w:val="00AC3DC6"/>
    <w:rsid w:val="00AC406A"/>
    <w:rsid w:val="00AC413C"/>
    <w:rsid w:val="00AC44C3"/>
    <w:rsid w:val="00AC490F"/>
    <w:rsid w:val="00AC4E18"/>
    <w:rsid w:val="00AC5255"/>
    <w:rsid w:val="00AC547C"/>
    <w:rsid w:val="00AC5679"/>
    <w:rsid w:val="00AC676A"/>
    <w:rsid w:val="00AC67D7"/>
    <w:rsid w:val="00AC7D8F"/>
    <w:rsid w:val="00AC7E2E"/>
    <w:rsid w:val="00AD0F53"/>
    <w:rsid w:val="00AD1265"/>
    <w:rsid w:val="00AD209D"/>
    <w:rsid w:val="00AD237D"/>
    <w:rsid w:val="00AD25B9"/>
    <w:rsid w:val="00AD2A06"/>
    <w:rsid w:val="00AD2C32"/>
    <w:rsid w:val="00AD43B0"/>
    <w:rsid w:val="00AD4B0B"/>
    <w:rsid w:val="00AD6CB8"/>
    <w:rsid w:val="00AE00E9"/>
    <w:rsid w:val="00AE151C"/>
    <w:rsid w:val="00AE1BD6"/>
    <w:rsid w:val="00AE1D46"/>
    <w:rsid w:val="00AE236D"/>
    <w:rsid w:val="00AE239F"/>
    <w:rsid w:val="00AE3ACE"/>
    <w:rsid w:val="00AE3BC7"/>
    <w:rsid w:val="00AE4340"/>
    <w:rsid w:val="00AE5873"/>
    <w:rsid w:val="00AE5A55"/>
    <w:rsid w:val="00AE6003"/>
    <w:rsid w:val="00AE624F"/>
    <w:rsid w:val="00AE6B99"/>
    <w:rsid w:val="00AE6BEC"/>
    <w:rsid w:val="00AE7040"/>
    <w:rsid w:val="00AF0702"/>
    <w:rsid w:val="00AF08E4"/>
    <w:rsid w:val="00AF0AA5"/>
    <w:rsid w:val="00AF0B3A"/>
    <w:rsid w:val="00AF0EBE"/>
    <w:rsid w:val="00AF0EFB"/>
    <w:rsid w:val="00AF13E6"/>
    <w:rsid w:val="00AF2458"/>
    <w:rsid w:val="00AF2889"/>
    <w:rsid w:val="00AF2C5F"/>
    <w:rsid w:val="00AF3FD7"/>
    <w:rsid w:val="00AF498B"/>
    <w:rsid w:val="00AF5A98"/>
    <w:rsid w:val="00AF5EF9"/>
    <w:rsid w:val="00AF6D36"/>
    <w:rsid w:val="00AF6EB3"/>
    <w:rsid w:val="00AF75BE"/>
    <w:rsid w:val="00AF79C9"/>
    <w:rsid w:val="00AF7C20"/>
    <w:rsid w:val="00AF7E22"/>
    <w:rsid w:val="00AF7E41"/>
    <w:rsid w:val="00B01407"/>
    <w:rsid w:val="00B0168B"/>
    <w:rsid w:val="00B01BE3"/>
    <w:rsid w:val="00B0228E"/>
    <w:rsid w:val="00B02A47"/>
    <w:rsid w:val="00B035F8"/>
    <w:rsid w:val="00B036AC"/>
    <w:rsid w:val="00B038D8"/>
    <w:rsid w:val="00B038ED"/>
    <w:rsid w:val="00B0395C"/>
    <w:rsid w:val="00B052E0"/>
    <w:rsid w:val="00B0672A"/>
    <w:rsid w:val="00B06AFE"/>
    <w:rsid w:val="00B072BD"/>
    <w:rsid w:val="00B073DE"/>
    <w:rsid w:val="00B07FFB"/>
    <w:rsid w:val="00B1176B"/>
    <w:rsid w:val="00B11D18"/>
    <w:rsid w:val="00B120D5"/>
    <w:rsid w:val="00B120E8"/>
    <w:rsid w:val="00B1275E"/>
    <w:rsid w:val="00B127B0"/>
    <w:rsid w:val="00B13407"/>
    <w:rsid w:val="00B13F7B"/>
    <w:rsid w:val="00B14629"/>
    <w:rsid w:val="00B14C42"/>
    <w:rsid w:val="00B151D8"/>
    <w:rsid w:val="00B15C8E"/>
    <w:rsid w:val="00B166DE"/>
    <w:rsid w:val="00B1688A"/>
    <w:rsid w:val="00B16D65"/>
    <w:rsid w:val="00B172DD"/>
    <w:rsid w:val="00B1780E"/>
    <w:rsid w:val="00B1781D"/>
    <w:rsid w:val="00B21942"/>
    <w:rsid w:val="00B223CB"/>
    <w:rsid w:val="00B2243A"/>
    <w:rsid w:val="00B228FE"/>
    <w:rsid w:val="00B230E1"/>
    <w:rsid w:val="00B23940"/>
    <w:rsid w:val="00B240C6"/>
    <w:rsid w:val="00B245DA"/>
    <w:rsid w:val="00B24E42"/>
    <w:rsid w:val="00B25508"/>
    <w:rsid w:val="00B2585D"/>
    <w:rsid w:val="00B25A51"/>
    <w:rsid w:val="00B25DD3"/>
    <w:rsid w:val="00B25F29"/>
    <w:rsid w:val="00B2631A"/>
    <w:rsid w:val="00B264E1"/>
    <w:rsid w:val="00B26937"/>
    <w:rsid w:val="00B26A24"/>
    <w:rsid w:val="00B26CD2"/>
    <w:rsid w:val="00B26E42"/>
    <w:rsid w:val="00B274DC"/>
    <w:rsid w:val="00B27829"/>
    <w:rsid w:val="00B27B99"/>
    <w:rsid w:val="00B27C8E"/>
    <w:rsid w:val="00B27F5D"/>
    <w:rsid w:val="00B30111"/>
    <w:rsid w:val="00B3018F"/>
    <w:rsid w:val="00B30EC9"/>
    <w:rsid w:val="00B31A7E"/>
    <w:rsid w:val="00B31D69"/>
    <w:rsid w:val="00B325DB"/>
    <w:rsid w:val="00B33DDE"/>
    <w:rsid w:val="00B33FB0"/>
    <w:rsid w:val="00B347F3"/>
    <w:rsid w:val="00B349EF"/>
    <w:rsid w:val="00B34C23"/>
    <w:rsid w:val="00B34E48"/>
    <w:rsid w:val="00B350FD"/>
    <w:rsid w:val="00B367EA"/>
    <w:rsid w:val="00B401D0"/>
    <w:rsid w:val="00B40580"/>
    <w:rsid w:val="00B40D1D"/>
    <w:rsid w:val="00B40D56"/>
    <w:rsid w:val="00B40F7E"/>
    <w:rsid w:val="00B4180E"/>
    <w:rsid w:val="00B42C03"/>
    <w:rsid w:val="00B44562"/>
    <w:rsid w:val="00B44A46"/>
    <w:rsid w:val="00B44FA5"/>
    <w:rsid w:val="00B458AC"/>
    <w:rsid w:val="00B45A2B"/>
    <w:rsid w:val="00B45F1C"/>
    <w:rsid w:val="00B46800"/>
    <w:rsid w:val="00B469F0"/>
    <w:rsid w:val="00B46AA1"/>
    <w:rsid w:val="00B500E9"/>
    <w:rsid w:val="00B50F4A"/>
    <w:rsid w:val="00B51B73"/>
    <w:rsid w:val="00B52542"/>
    <w:rsid w:val="00B5261E"/>
    <w:rsid w:val="00B5299E"/>
    <w:rsid w:val="00B53074"/>
    <w:rsid w:val="00B53864"/>
    <w:rsid w:val="00B554D4"/>
    <w:rsid w:val="00B55F7D"/>
    <w:rsid w:val="00B5729E"/>
    <w:rsid w:val="00B605F7"/>
    <w:rsid w:val="00B60E59"/>
    <w:rsid w:val="00B60EF2"/>
    <w:rsid w:val="00B6105C"/>
    <w:rsid w:val="00B617FF"/>
    <w:rsid w:val="00B61FFB"/>
    <w:rsid w:val="00B62750"/>
    <w:rsid w:val="00B627A5"/>
    <w:rsid w:val="00B633D2"/>
    <w:rsid w:val="00B63BCA"/>
    <w:rsid w:val="00B6464C"/>
    <w:rsid w:val="00B6501B"/>
    <w:rsid w:val="00B66F66"/>
    <w:rsid w:val="00B674F0"/>
    <w:rsid w:val="00B67D0C"/>
    <w:rsid w:val="00B7091C"/>
    <w:rsid w:val="00B70ACC"/>
    <w:rsid w:val="00B713EF"/>
    <w:rsid w:val="00B72011"/>
    <w:rsid w:val="00B72356"/>
    <w:rsid w:val="00B7236D"/>
    <w:rsid w:val="00B7488E"/>
    <w:rsid w:val="00B74D31"/>
    <w:rsid w:val="00B74F6E"/>
    <w:rsid w:val="00B751A1"/>
    <w:rsid w:val="00B760B4"/>
    <w:rsid w:val="00B76747"/>
    <w:rsid w:val="00B7758C"/>
    <w:rsid w:val="00B7764D"/>
    <w:rsid w:val="00B778BE"/>
    <w:rsid w:val="00B77949"/>
    <w:rsid w:val="00B80FBA"/>
    <w:rsid w:val="00B81584"/>
    <w:rsid w:val="00B815D5"/>
    <w:rsid w:val="00B823C3"/>
    <w:rsid w:val="00B82862"/>
    <w:rsid w:val="00B8286B"/>
    <w:rsid w:val="00B839CD"/>
    <w:rsid w:val="00B83DEE"/>
    <w:rsid w:val="00B83F17"/>
    <w:rsid w:val="00B84CE8"/>
    <w:rsid w:val="00B85888"/>
    <w:rsid w:val="00B87F33"/>
    <w:rsid w:val="00B90070"/>
    <w:rsid w:val="00B90284"/>
    <w:rsid w:val="00B91320"/>
    <w:rsid w:val="00B92F62"/>
    <w:rsid w:val="00B93802"/>
    <w:rsid w:val="00B95152"/>
    <w:rsid w:val="00B952FB"/>
    <w:rsid w:val="00B95414"/>
    <w:rsid w:val="00B95D3B"/>
    <w:rsid w:val="00B96462"/>
    <w:rsid w:val="00B971FD"/>
    <w:rsid w:val="00B975A4"/>
    <w:rsid w:val="00BA0E85"/>
    <w:rsid w:val="00BA0EBF"/>
    <w:rsid w:val="00BA1999"/>
    <w:rsid w:val="00BA1A91"/>
    <w:rsid w:val="00BA1DE6"/>
    <w:rsid w:val="00BA1EBC"/>
    <w:rsid w:val="00BA270C"/>
    <w:rsid w:val="00BA328A"/>
    <w:rsid w:val="00BA374C"/>
    <w:rsid w:val="00BA40B3"/>
    <w:rsid w:val="00BA4161"/>
    <w:rsid w:val="00BA465A"/>
    <w:rsid w:val="00BA4786"/>
    <w:rsid w:val="00BA47A1"/>
    <w:rsid w:val="00BA5522"/>
    <w:rsid w:val="00BA5659"/>
    <w:rsid w:val="00BA5BAD"/>
    <w:rsid w:val="00BA6299"/>
    <w:rsid w:val="00BA6424"/>
    <w:rsid w:val="00BA649A"/>
    <w:rsid w:val="00BA6567"/>
    <w:rsid w:val="00BA7537"/>
    <w:rsid w:val="00BA7B4D"/>
    <w:rsid w:val="00BB0418"/>
    <w:rsid w:val="00BB05C1"/>
    <w:rsid w:val="00BB0A81"/>
    <w:rsid w:val="00BB18BD"/>
    <w:rsid w:val="00BB1A99"/>
    <w:rsid w:val="00BB2F5F"/>
    <w:rsid w:val="00BB3129"/>
    <w:rsid w:val="00BB3E9A"/>
    <w:rsid w:val="00BB4E91"/>
    <w:rsid w:val="00BB5980"/>
    <w:rsid w:val="00BB5A6E"/>
    <w:rsid w:val="00BB60CF"/>
    <w:rsid w:val="00BB651C"/>
    <w:rsid w:val="00BB674F"/>
    <w:rsid w:val="00BB6764"/>
    <w:rsid w:val="00BB69AD"/>
    <w:rsid w:val="00BB6E1C"/>
    <w:rsid w:val="00BB6EB0"/>
    <w:rsid w:val="00BB739E"/>
    <w:rsid w:val="00BB7B07"/>
    <w:rsid w:val="00BB7E95"/>
    <w:rsid w:val="00BC019B"/>
    <w:rsid w:val="00BC100F"/>
    <w:rsid w:val="00BC1B7C"/>
    <w:rsid w:val="00BC2132"/>
    <w:rsid w:val="00BC335D"/>
    <w:rsid w:val="00BC3C0E"/>
    <w:rsid w:val="00BC4DDC"/>
    <w:rsid w:val="00BC52C9"/>
    <w:rsid w:val="00BC5ABD"/>
    <w:rsid w:val="00BC5E99"/>
    <w:rsid w:val="00BC6BDA"/>
    <w:rsid w:val="00BC6DAD"/>
    <w:rsid w:val="00BC6EB8"/>
    <w:rsid w:val="00BC7215"/>
    <w:rsid w:val="00BD10C8"/>
    <w:rsid w:val="00BD16E8"/>
    <w:rsid w:val="00BD255E"/>
    <w:rsid w:val="00BD2B11"/>
    <w:rsid w:val="00BD2C6A"/>
    <w:rsid w:val="00BD2E63"/>
    <w:rsid w:val="00BD3890"/>
    <w:rsid w:val="00BD3CC5"/>
    <w:rsid w:val="00BD5BE9"/>
    <w:rsid w:val="00BD79EA"/>
    <w:rsid w:val="00BD7AC5"/>
    <w:rsid w:val="00BD7F4D"/>
    <w:rsid w:val="00BE0D71"/>
    <w:rsid w:val="00BE0E84"/>
    <w:rsid w:val="00BE1420"/>
    <w:rsid w:val="00BE1586"/>
    <w:rsid w:val="00BE19B8"/>
    <w:rsid w:val="00BE28AF"/>
    <w:rsid w:val="00BE2B7F"/>
    <w:rsid w:val="00BE2C75"/>
    <w:rsid w:val="00BE3498"/>
    <w:rsid w:val="00BE369D"/>
    <w:rsid w:val="00BE3AF2"/>
    <w:rsid w:val="00BE3B36"/>
    <w:rsid w:val="00BE479F"/>
    <w:rsid w:val="00BE4D03"/>
    <w:rsid w:val="00BE5CEA"/>
    <w:rsid w:val="00BE7017"/>
    <w:rsid w:val="00BE7236"/>
    <w:rsid w:val="00BE7378"/>
    <w:rsid w:val="00BE788D"/>
    <w:rsid w:val="00BE7906"/>
    <w:rsid w:val="00BE798B"/>
    <w:rsid w:val="00BE7F08"/>
    <w:rsid w:val="00BF0969"/>
    <w:rsid w:val="00BF106D"/>
    <w:rsid w:val="00BF108E"/>
    <w:rsid w:val="00BF10DB"/>
    <w:rsid w:val="00BF15F0"/>
    <w:rsid w:val="00BF1BD6"/>
    <w:rsid w:val="00BF1C6B"/>
    <w:rsid w:val="00BF26CD"/>
    <w:rsid w:val="00BF2F1C"/>
    <w:rsid w:val="00BF3658"/>
    <w:rsid w:val="00BF3F9C"/>
    <w:rsid w:val="00BF49B0"/>
    <w:rsid w:val="00BF50CB"/>
    <w:rsid w:val="00BF59F4"/>
    <w:rsid w:val="00BF636C"/>
    <w:rsid w:val="00C007E6"/>
    <w:rsid w:val="00C00F72"/>
    <w:rsid w:val="00C01D3E"/>
    <w:rsid w:val="00C01DDE"/>
    <w:rsid w:val="00C023DE"/>
    <w:rsid w:val="00C0324E"/>
    <w:rsid w:val="00C03FFD"/>
    <w:rsid w:val="00C04D10"/>
    <w:rsid w:val="00C05116"/>
    <w:rsid w:val="00C0606C"/>
    <w:rsid w:val="00C0696D"/>
    <w:rsid w:val="00C074A3"/>
    <w:rsid w:val="00C1086B"/>
    <w:rsid w:val="00C11413"/>
    <w:rsid w:val="00C11671"/>
    <w:rsid w:val="00C119C7"/>
    <w:rsid w:val="00C11E72"/>
    <w:rsid w:val="00C134EC"/>
    <w:rsid w:val="00C141C9"/>
    <w:rsid w:val="00C14AD8"/>
    <w:rsid w:val="00C14BB6"/>
    <w:rsid w:val="00C15084"/>
    <w:rsid w:val="00C15940"/>
    <w:rsid w:val="00C15BA8"/>
    <w:rsid w:val="00C15CD4"/>
    <w:rsid w:val="00C203D4"/>
    <w:rsid w:val="00C20629"/>
    <w:rsid w:val="00C209D9"/>
    <w:rsid w:val="00C210BB"/>
    <w:rsid w:val="00C21794"/>
    <w:rsid w:val="00C21B63"/>
    <w:rsid w:val="00C21E75"/>
    <w:rsid w:val="00C22D7A"/>
    <w:rsid w:val="00C23465"/>
    <w:rsid w:val="00C23AEC"/>
    <w:rsid w:val="00C23D65"/>
    <w:rsid w:val="00C24009"/>
    <w:rsid w:val="00C2551F"/>
    <w:rsid w:val="00C25844"/>
    <w:rsid w:val="00C25F1B"/>
    <w:rsid w:val="00C25FD4"/>
    <w:rsid w:val="00C26C41"/>
    <w:rsid w:val="00C26CA2"/>
    <w:rsid w:val="00C26E40"/>
    <w:rsid w:val="00C271DB"/>
    <w:rsid w:val="00C30062"/>
    <w:rsid w:val="00C31072"/>
    <w:rsid w:val="00C3162E"/>
    <w:rsid w:val="00C31CF1"/>
    <w:rsid w:val="00C32603"/>
    <w:rsid w:val="00C32D21"/>
    <w:rsid w:val="00C330BA"/>
    <w:rsid w:val="00C3343D"/>
    <w:rsid w:val="00C3459C"/>
    <w:rsid w:val="00C35711"/>
    <w:rsid w:val="00C35BE7"/>
    <w:rsid w:val="00C36C10"/>
    <w:rsid w:val="00C37F61"/>
    <w:rsid w:val="00C410D1"/>
    <w:rsid w:val="00C4121D"/>
    <w:rsid w:val="00C4248F"/>
    <w:rsid w:val="00C46465"/>
    <w:rsid w:val="00C4672B"/>
    <w:rsid w:val="00C468E9"/>
    <w:rsid w:val="00C4747B"/>
    <w:rsid w:val="00C50971"/>
    <w:rsid w:val="00C518BE"/>
    <w:rsid w:val="00C5213D"/>
    <w:rsid w:val="00C525C7"/>
    <w:rsid w:val="00C52BC8"/>
    <w:rsid w:val="00C52E2C"/>
    <w:rsid w:val="00C5328E"/>
    <w:rsid w:val="00C53F69"/>
    <w:rsid w:val="00C551F8"/>
    <w:rsid w:val="00C55424"/>
    <w:rsid w:val="00C55F54"/>
    <w:rsid w:val="00C565EB"/>
    <w:rsid w:val="00C5770E"/>
    <w:rsid w:val="00C578CA"/>
    <w:rsid w:val="00C6150A"/>
    <w:rsid w:val="00C6154C"/>
    <w:rsid w:val="00C61B53"/>
    <w:rsid w:val="00C620D3"/>
    <w:rsid w:val="00C62AC5"/>
    <w:rsid w:val="00C630AC"/>
    <w:rsid w:val="00C6321E"/>
    <w:rsid w:val="00C6410B"/>
    <w:rsid w:val="00C64265"/>
    <w:rsid w:val="00C6448D"/>
    <w:rsid w:val="00C64564"/>
    <w:rsid w:val="00C64C9A"/>
    <w:rsid w:val="00C6664D"/>
    <w:rsid w:val="00C66CBE"/>
    <w:rsid w:val="00C6718D"/>
    <w:rsid w:val="00C67342"/>
    <w:rsid w:val="00C67743"/>
    <w:rsid w:val="00C67EEE"/>
    <w:rsid w:val="00C67F8A"/>
    <w:rsid w:val="00C702B4"/>
    <w:rsid w:val="00C704C0"/>
    <w:rsid w:val="00C70B92"/>
    <w:rsid w:val="00C70F8D"/>
    <w:rsid w:val="00C721A7"/>
    <w:rsid w:val="00C7227F"/>
    <w:rsid w:val="00C7284E"/>
    <w:rsid w:val="00C7380A"/>
    <w:rsid w:val="00C73E1E"/>
    <w:rsid w:val="00C7417D"/>
    <w:rsid w:val="00C7417F"/>
    <w:rsid w:val="00C7489A"/>
    <w:rsid w:val="00C74DF9"/>
    <w:rsid w:val="00C75459"/>
    <w:rsid w:val="00C7668D"/>
    <w:rsid w:val="00C76859"/>
    <w:rsid w:val="00C76938"/>
    <w:rsid w:val="00C76975"/>
    <w:rsid w:val="00C76C16"/>
    <w:rsid w:val="00C77CDF"/>
    <w:rsid w:val="00C80F89"/>
    <w:rsid w:val="00C81134"/>
    <w:rsid w:val="00C813DE"/>
    <w:rsid w:val="00C81F2E"/>
    <w:rsid w:val="00C820C0"/>
    <w:rsid w:val="00C82523"/>
    <w:rsid w:val="00C827FD"/>
    <w:rsid w:val="00C82F76"/>
    <w:rsid w:val="00C83623"/>
    <w:rsid w:val="00C836D5"/>
    <w:rsid w:val="00C842A2"/>
    <w:rsid w:val="00C850E2"/>
    <w:rsid w:val="00C86BA3"/>
    <w:rsid w:val="00C90334"/>
    <w:rsid w:val="00C92255"/>
    <w:rsid w:val="00C93A92"/>
    <w:rsid w:val="00C93C59"/>
    <w:rsid w:val="00C94C58"/>
    <w:rsid w:val="00C9517E"/>
    <w:rsid w:val="00C95C76"/>
    <w:rsid w:val="00C9706D"/>
    <w:rsid w:val="00C9765D"/>
    <w:rsid w:val="00CA011C"/>
    <w:rsid w:val="00CA1CD7"/>
    <w:rsid w:val="00CA2250"/>
    <w:rsid w:val="00CA272C"/>
    <w:rsid w:val="00CA34C2"/>
    <w:rsid w:val="00CA3920"/>
    <w:rsid w:val="00CA42E3"/>
    <w:rsid w:val="00CA4517"/>
    <w:rsid w:val="00CA46AB"/>
    <w:rsid w:val="00CA58F5"/>
    <w:rsid w:val="00CA5F66"/>
    <w:rsid w:val="00CA6417"/>
    <w:rsid w:val="00CA66B6"/>
    <w:rsid w:val="00CA66C7"/>
    <w:rsid w:val="00CA6A88"/>
    <w:rsid w:val="00CA70E6"/>
    <w:rsid w:val="00CA7BAE"/>
    <w:rsid w:val="00CB01EE"/>
    <w:rsid w:val="00CB0364"/>
    <w:rsid w:val="00CB0980"/>
    <w:rsid w:val="00CB17FD"/>
    <w:rsid w:val="00CB1C0A"/>
    <w:rsid w:val="00CB2072"/>
    <w:rsid w:val="00CB21EF"/>
    <w:rsid w:val="00CB25B7"/>
    <w:rsid w:val="00CB297C"/>
    <w:rsid w:val="00CB2B0B"/>
    <w:rsid w:val="00CB3948"/>
    <w:rsid w:val="00CB48A4"/>
    <w:rsid w:val="00CB4B18"/>
    <w:rsid w:val="00CB4C95"/>
    <w:rsid w:val="00CB6C76"/>
    <w:rsid w:val="00CB6EC8"/>
    <w:rsid w:val="00CB7A8A"/>
    <w:rsid w:val="00CB7D30"/>
    <w:rsid w:val="00CC05D4"/>
    <w:rsid w:val="00CC1306"/>
    <w:rsid w:val="00CC187D"/>
    <w:rsid w:val="00CC2859"/>
    <w:rsid w:val="00CC2B9D"/>
    <w:rsid w:val="00CC494D"/>
    <w:rsid w:val="00CC4DE8"/>
    <w:rsid w:val="00CC4FF6"/>
    <w:rsid w:val="00CC5012"/>
    <w:rsid w:val="00CC54C1"/>
    <w:rsid w:val="00CC5A0C"/>
    <w:rsid w:val="00CD0E49"/>
    <w:rsid w:val="00CD1356"/>
    <w:rsid w:val="00CD1510"/>
    <w:rsid w:val="00CD1698"/>
    <w:rsid w:val="00CD23CE"/>
    <w:rsid w:val="00CD25EE"/>
    <w:rsid w:val="00CD2732"/>
    <w:rsid w:val="00CD28F9"/>
    <w:rsid w:val="00CD2DE7"/>
    <w:rsid w:val="00CD2E25"/>
    <w:rsid w:val="00CD3679"/>
    <w:rsid w:val="00CD3D4A"/>
    <w:rsid w:val="00CD4DEF"/>
    <w:rsid w:val="00CD51E0"/>
    <w:rsid w:val="00CD5C1C"/>
    <w:rsid w:val="00CD6DB4"/>
    <w:rsid w:val="00CD71C8"/>
    <w:rsid w:val="00CD743F"/>
    <w:rsid w:val="00CE1191"/>
    <w:rsid w:val="00CE177A"/>
    <w:rsid w:val="00CE213F"/>
    <w:rsid w:val="00CE2279"/>
    <w:rsid w:val="00CE2289"/>
    <w:rsid w:val="00CE2B79"/>
    <w:rsid w:val="00CE2C00"/>
    <w:rsid w:val="00CE2D60"/>
    <w:rsid w:val="00CE35FE"/>
    <w:rsid w:val="00CE3C9A"/>
    <w:rsid w:val="00CE408D"/>
    <w:rsid w:val="00CE4480"/>
    <w:rsid w:val="00CE4BD0"/>
    <w:rsid w:val="00CE4CD5"/>
    <w:rsid w:val="00CE52D1"/>
    <w:rsid w:val="00CE6381"/>
    <w:rsid w:val="00CE6650"/>
    <w:rsid w:val="00CE6AC0"/>
    <w:rsid w:val="00CE7770"/>
    <w:rsid w:val="00CF0663"/>
    <w:rsid w:val="00CF0F8C"/>
    <w:rsid w:val="00CF1CEF"/>
    <w:rsid w:val="00CF245C"/>
    <w:rsid w:val="00CF2659"/>
    <w:rsid w:val="00CF2A10"/>
    <w:rsid w:val="00CF350E"/>
    <w:rsid w:val="00CF3F70"/>
    <w:rsid w:val="00CF4832"/>
    <w:rsid w:val="00CF4E7F"/>
    <w:rsid w:val="00CF5166"/>
    <w:rsid w:val="00CF69AC"/>
    <w:rsid w:val="00CF723C"/>
    <w:rsid w:val="00CF7693"/>
    <w:rsid w:val="00CF7F55"/>
    <w:rsid w:val="00D016CA"/>
    <w:rsid w:val="00D017BE"/>
    <w:rsid w:val="00D01B03"/>
    <w:rsid w:val="00D02F9C"/>
    <w:rsid w:val="00D031D0"/>
    <w:rsid w:val="00D035A9"/>
    <w:rsid w:val="00D03D6B"/>
    <w:rsid w:val="00D03F28"/>
    <w:rsid w:val="00D04082"/>
    <w:rsid w:val="00D047F3"/>
    <w:rsid w:val="00D04B61"/>
    <w:rsid w:val="00D063A9"/>
    <w:rsid w:val="00D06A26"/>
    <w:rsid w:val="00D07096"/>
    <w:rsid w:val="00D07E8C"/>
    <w:rsid w:val="00D11C81"/>
    <w:rsid w:val="00D1208F"/>
    <w:rsid w:val="00D133EA"/>
    <w:rsid w:val="00D13F7E"/>
    <w:rsid w:val="00D17052"/>
    <w:rsid w:val="00D20B0D"/>
    <w:rsid w:val="00D217B5"/>
    <w:rsid w:val="00D21E42"/>
    <w:rsid w:val="00D236E1"/>
    <w:rsid w:val="00D23B46"/>
    <w:rsid w:val="00D23EA0"/>
    <w:rsid w:val="00D24132"/>
    <w:rsid w:val="00D24153"/>
    <w:rsid w:val="00D24548"/>
    <w:rsid w:val="00D26276"/>
    <w:rsid w:val="00D2678D"/>
    <w:rsid w:val="00D26E98"/>
    <w:rsid w:val="00D27718"/>
    <w:rsid w:val="00D30081"/>
    <w:rsid w:val="00D30C4A"/>
    <w:rsid w:val="00D30EB4"/>
    <w:rsid w:val="00D3167A"/>
    <w:rsid w:val="00D318DA"/>
    <w:rsid w:val="00D31AC2"/>
    <w:rsid w:val="00D31AEF"/>
    <w:rsid w:val="00D32C9F"/>
    <w:rsid w:val="00D343B2"/>
    <w:rsid w:val="00D3532B"/>
    <w:rsid w:val="00D357CA"/>
    <w:rsid w:val="00D35DA5"/>
    <w:rsid w:val="00D376C1"/>
    <w:rsid w:val="00D404BE"/>
    <w:rsid w:val="00D40C7A"/>
    <w:rsid w:val="00D40D8E"/>
    <w:rsid w:val="00D40DD7"/>
    <w:rsid w:val="00D41B5E"/>
    <w:rsid w:val="00D41E2F"/>
    <w:rsid w:val="00D41FF1"/>
    <w:rsid w:val="00D42672"/>
    <w:rsid w:val="00D4269F"/>
    <w:rsid w:val="00D42D09"/>
    <w:rsid w:val="00D4301D"/>
    <w:rsid w:val="00D4450E"/>
    <w:rsid w:val="00D44ACB"/>
    <w:rsid w:val="00D4539C"/>
    <w:rsid w:val="00D457F1"/>
    <w:rsid w:val="00D45CE3"/>
    <w:rsid w:val="00D46DD9"/>
    <w:rsid w:val="00D478E1"/>
    <w:rsid w:val="00D47A43"/>
    <w:rsid w:val="00D47FA2"/>
    <w:rsid w:val="00D504AF"/>
    <w:rsid w:val="00D51A4F"/>
    <w:rsid w:val="00D521B9"/>
    <w:rsid w:val="00D52684"/>
    <w:rsid w:val="00D52774"/>
    <w:rsid w:val="00D53FF7"/>
    <w:rsid w:val="00D54149"/>
    <w:rsid w:val="00D54657"/>
    <w:rsid w:val="00D546F4"/>
    <w:rsid w:val="00D54A7A"/>
    <w:rsid w:val="00D553ED"/>
    <w:rsid w:val="00D5549E"/>
    <w:rsid w:val="00D55803"/>
    <w:rsid w:val="00D56886"/>
    <w:rsid w:val="00D57009"/>
    <w:rsid w:val="00D57C4D"/>
    <w:rsid w:val="00D60528"/>
    <w:rsid w:val="00D60B1D"/>
    <w:rsid w:val="00D6182B"/>
    <w:rsid w:val="00D61F19"/>
    <w:rsid w:val="00D62452"/>
    <w:rsid w:val="00D62555"/>
    <w:rsid w:val="00D64670"/>
    <w:rsid w:val="00D64A4A"/>
    <w:rsid w:val="00D65A38"/>
    <w:rsid w:val="00D65FAC"/>
    <w:rsid w:val="00D66D19"/>
    <w:rsid w:val="00D67827"/>
    <w:rsid w:val="00D67892"/>
    <w:rsid w:val="00D67AC6"/>
    <w:rsid w:val="00D7136E"/>
    <w:rsid w:val="00D71451"/>
    <w:rsid w:val="00D71790"/>
    <w:rsid w:val="00D71F29"/>
    <w:rsid w:val="00D72441"/>
    <w:rsid w:val="00D72ADC"/>
    <w:rsid w:val="00D72BA6"/>
    <w:rsid w:val="00D7397C"/>
    <w:rsid w:val="00D73F66"/>
    <w:rsid w:val="00D74B2C"/>
    <w:rsid w:val="00D753F1"/>
    <w:rsid w:val="00D76029"/>
    <w:rsid w:val="00D76412"/>
    <w:rsid w:val="00D76669"/>
    <w:rsid w:val="00D76DFB"/>
    <w:rsid w:val="00D77F1F"/>
    <w:rsid w:val="00D8005B"/>
    <w:rsid w:val="00D80F44"/>
    <w:rsid w:val="00D8163E"/>
    <w:rsid w:val="00D81CB6"/>
    <w:rsid w:val="00D82D58"/>
    <w:rsid w:val="00D83F66"/>
    <w:rsid w:val="00D84429"/>
    <w:rsid w:val="00D84D51"/>
    <w:rsid w:val="00D85B44"/>
    <w:rsid w:val="00D8698C"/>
    <w:rsid w:val="00D86CE5"/>
    <w:rsid w:val="00D8746E"/>
    <w:rsid w:val="00D87AF6"/>
    <w:rsid w:val="00D90740"/>
    <w:rsid w:val="00D9111F"/>
    <w:rsid w:val="00D91571"/>
    <w:rsid w:val="00D91B1D"/>
    <w:rsid w:val="00D92596"/>
    <w:rsid w:val="00D931D7"/>
    <w:rsid w:val="00D93AEB"/>
    <w:rsid w:val="00D94B4A"/>
    <w:rsid w:val="00D951D2"/>
    <w:rsid w:val="00D95597"/>
    <w:rsid w:val="00D96DF3"/>
    <w:rsid w:val="00D974B9"/>
    <w:rsid w:val="00D9781D"/>
    <w:rsid w:val="00D97CCD"/>
    <w:rsid w:val="00D97D0F"/>
    <w:rsid w:val="00DA11D1"/>
    <w:rsid w:val="00DA14A8"/>
    <w:rsid w:val="00DA19FF"/>
    <w:rsid w:val="00DA23DC"/>
    <w:rsid w:val="00DA2506"/>
    <w:rsid w:val="00DA2E26"/>
    <w:rsid w:val="00DA3DE4"/>
    <w:rsid w:val="00DA4496"/>
    <w:rsid w:val="00DA48CA"/>
    <w:rsid w:val="00DA51AD"/>
    <w:rsid w:val="00DA7373"/>
    <w:rsid w:val="00DB06DD"/>
    <w:rsid w:val="00DB1138"/>
    <w:rsid w:val="00DB24A8"/>
    <w:rsid w:val="00DB28B7"/>
    <w:rsid w:val="00DB2C77"/>
    <w:rsid w:val="00DB3929"/>
    <w:rsid w:val="00DB40FD"/>
    <w:rsid w:val="00DB4B9D"/>
    <w:rsid w:val="00DB5075"/>
    <w:rsid w:val="00DB51EA"/>
    <w:rsid w:val="00DB52F8"/>
    <w:rsid w:val="00DB5BAD"/>
    <w:rsid w:val="00DB733D"/>
    <w:rsid w:val="00DB744D"/>
    <w:rsid w:val="00DB7CC9"/>
    <w:rsid w:val="00DC0027"/>
    <w:rsid w:val="00DC046E"/>
    <w:rsid w:val="00DC0616"/>
    <w:rsid w:val="00DC0727"/>
    <w:rsid w:val="00DC09A6"/>
    <w:rsid w:val="00DC0B7E"/>
    <w:rsid w:val="00DC1A0D"/>
    <w:rsid w:val="00DC43E3"/>
    <w:rsid w:val="00DC4563"/>
    <w:rsid w:val="00DC4906"/>
    <w:rsid w:val="00DC52F6"/>
    <w:rsid w:val="00DC644A"/>
    <w:rsid w:val="00DC6BAC"/>
    <w:rsid w:val="00DC7C46"/>
    <w:rsid w:val="00DD1700"/>
    <w:rsid w:val="00DD170C"/>
    <w:rsid w:val="00DD1BAB"/>
    <w:rsid w:val="00DD1DDF"/>
    <w:rsid w:val="00DD2076"/>
    <w:rsid w:val="00DD209E"/>
    <w:rsid w:val="00DD249B"/>
    <w:rsid w:val="00DD2E59"/>
    <w:rsid w:val="00DD3B2F"/>
    <w:rsid w:val="00DD3C36"/>
    <w:rsid w:val="00DD442C"/>
    <w:rsid w:val="00DD484F"/>
    <w:rsid w:val="00DD487F"/>
    <w:rsid w:val="00DD51CB"/>
    <w:rsid w:val="00DD521D"/>
    <w:rsid w:val="00DD597F"/>
    <w:rsid w:val="00DD746E"/>
    <w:rsid w:val="00DD76CE"/>
    <w:rsid w:val="00DD7742"/>
    <w:rsid w:val="00DD7E2E"/>
    <w:rsid w:val="00DD7EF3"/>
    <w:rsid w:val="00DE05A3"/>
    <w:rsid w:val="00DE1C1B"/>
    <w:rsid w:val="00DE1D2C"/>
    <w:rsid w:val="00DE2204"/>
    <w:rsid w:val="00DE2B6B"/>
    <w:rsid w:val="00DE2DFD"/>
    <w:rsid w:val="00DE3370"/>
    <w:rsid w:val="00DE3927"/>
    <w:rsid w:val="00DE4BCD"/>
    <w:rsid w:val="00DE521E"/>
    <w:rsid w:val="00DE559B"/>
    <w:rsid w:val="00DE57DB"/>
    <w:rsid w:val="00DE6595"/>
    <w:rsid w:val="00DE659B"/>
    <w:rsid w:val="00DF034A"/>
    <w:rsid w:val="00DF03BB"/>
    <w:rsid w:val="00DF0B13"/>
    <w:rsid w:val="00DF0B98"/>
    <w:rsid w:val="00DF0FD7"/>
    <w:rsid w:val="00DF0FEA"/>
    <w:rsid w:val="00DF12E3"/>
    <w:rsid w:val="00DF1E3E"/>
    <w:rsid w:val="00DF1FBB"/>
    <w:rsid w:val="00DF430D"/>
    <w:rsid w:val="00DF4952"/>
    <w:rsid w:val="00DF5B87"/>
    <w:rsid w:val="00DF5C3D"/>
    <w:rsid w:val="00DF6159"/>
    <w:rsid w:val="00DF7933"/>
    <w:rsid w:val="00DF799F"/>
    <w:rsid w:val="00DF7A05"/>
    <w:rsid w:val="00E006B6"/>
    <w:rsid w:val="00E007DE"/>
    <w:rsid w:val="00E0080F"/>
    <w:rsid w:val="00E00995"/>
    <w:rsid w:val="00E0206F"/>
    <w:rsid w:val="00E02269"/>
    <w:rsid w:val="00E029D5"/>
    <w:rsid w:val="00E02B36"/>
    <w:rsid w:val="00E03577"/>
    <w:rsid w:val="00E0378B"/>
    <w:rsid w:val="00E03F23"/>
    <w:rsid w:val="00E0404D"/>
    <w:rsid w:val="00E0456C"/>
    <w:rsid w:val="00E05628"/>
    <w:rsid w:val="00E062E1"/>
    <w:rsid w:val="00E06A26"/>
    <w:rsid w:val="00E06AD6"/>
    <w:rsid w:val="00E06BB8"/>
    <w:rsid w:val="00E07820"/>
    <w:rsid w:val="00E07AAE"/>
    <w:rsid w:val="00E07E09"/>
    <w:rsid w:val="00E105B8"/>
    <w:rsid w:val="00E118B9"/>
    <w:rsid w:val="00E11E46"/>
    <w:rsid w:val="00E1233C"/>
    <w:rsid w:val="00E1257B"/>
    <w:rsid w:val="00E1274A"/>
    <w:rsid w:val="00E13009"/>
    <w:rsid w:val="00E13393"/>
    <w:rsid w:val="00E13846"/>
    <w:rsid w:val="00E13B6F"/>
    <w:rsid w:val="00E1697E"/>
    <w:rsid w:val="00E16BBA"/>
    <w:rsid w:val="00E177A4"/>
    <w:rsid w:val="00E22500"/>
    <w:rsid w:val="00E22F68"/>
    <w:rsid w:val="00E23819"/>
    <w:rsid w:val="00E243F9"/>
    <w:rsid w:val="00E24FB3"/>
    <w:rsid w:val="00E25068"/>
    <w:rsid w:val="00E2557A"/>
    <w:rsid w:val="00E25D81"/>
    <w:rsid w:val="00E26AF2"/>
    <w:rsid w:val="00E26FAE"/>
    <w:rsid w:val="00E2762E"/>
    <w:rsid w:val="00E303E0"/>
    <w:rsid w:val="00E30408"/>
    <w:rsid w:val="00E30EFB"/>
    <w:rsid w:val="00E320DA"/>
    <w:rsid w:val="00E32B86"/>
    <w:rsid w:val="00E33548"/>
    <w:rsid w:val="00E33AC2"/>
    <w:rsid w:val="00E33AD1"/>
    <w:rsid w:val="00E33F8E"/>
    <w:rsid w:val="00E34115"/>
    <w:rsid w:val="00E34B5F"/>
    <w:rsid w:val="00E3580C"/>
    <w:rsid w:val="00E35CBE"/>
    <w:rsid w:val="00E3615D"/>
    <w:rsid w:val="00E373DF"/>
    <w:rsid w:val="00E379FB"/>
    <w:rsid w:val="00E400BB"/>
    <w:rsid w:val="00E40516"/>
    <w:rsid w:val="00E405F5"/>
    <w:rsid w:val="00E406ED"/>
    <w:rsid w:val="00E4083F"/>
    <w:rsid w:val="00E40CC0"/>
    <w:rsid w:val="00E41521"/>
    <w:rsid w:val="00E4185A"/>
    <w:rsid w:val="00E41C06"/>
    <w:rsid w:val="00E42B00"/>
    <w:rsid w:val="00E43312"/>
    <w:rsid w:val="00E44698"/>
    <w:rsid w:val="00E44F0D"/>
    <w:rsid w:val="00E455F5"/>
    <w:rsid w:val="00E456A8"/>
    <w:rsid w:val="00E46755"/>
    <w:rsid w:val="00E477A3"/>
    <w:rsid w:val="00E47885"/>
    <w:rsid w:val="00E479C2"/>
    <w:rsid w:val="00E47B79"/>
    <w:rsid w:val="00E518DD"/>
    <w:rsid w:val="00E51E87"/>
    <w:rsid w:val="00E52AC3"/>
    <w:rsid w:val="00E5309B"/>
    <w:rsid w:val="00E53133"/>
    <w:rsid w:val="00E53849"/>
    <w:rsid w:val="00E538D9"/>
    <w:rsid w:val="00E539AE"/>
    <w:rsid w:val="00E53D0E"/>
    <w:rsid w:val="00E53E04"/>
    <w:rsid w:val="00E54065"/>
    <w:rsid w:val="00E54270"/>
    <w:rsid w:val="00E543E9"/>
    <w:rsid w:val="00E547ED"/>
    <w:rsid w:val="00E554A9"/>
    <w:rsid w:val="00E56197"/>
    <w:rsid w:val="00E56850"/>
    <w:rsid w:val="00E56B55"/>
    <w:rsid w:val="00E56C7A"/>
    <w:rsid w:val="00E60310"/>
    <w:rsid w:val="00E60CAE"/>
    <w:rsid w:val="00E611E5"/>
    <w:rsid w:val="00E613F4"/>
    <w:rsid w:val="00E617C1"/>
    <w:rsid w:val="00E61935"/>
    <w:rsid w:val="00E61ABB"/>
    <w:rsid w:val="00E61B98"/>
    <w:rsid w:val="00E62B4D"/>
    <w:rsid w:val="00E62EB1"/>
    <w:rsid w:val="00E6358A"/>
    <w:rsid w:val="00E63CB4"/>
    <w:rsid w:val="00E64030"/>
    <w:rsid w:val="00E64173"/>
    <w:rsid w:val="00E6495B"/>
    <w:rsid w:val="00E65B05"/>
    <w:rsid w:val="00E66266"/>
    <w:rsid w:val="00E6641E"/>
    <w:rsid w:val="00E666FB"/>
    <w:rsid w:val="00E6695E"/>
    <w:rsid w:val="00E66A42"/>
    <w:rsid w:val="00E66C0C"/>
    <w:rsid w:val="00E709A0"/>
    <w:rsid w:val="00E70D51"/>
    <w:rsid w:val="00E71289"/>
    <w:rsid w:val="00E71B13"/>
    <w:rsid w:val="00E71DC2"/>
    <w:rsid w:val="00E72564"/>
    <w:rsid w:val="00E73010"/>
    <w:rsid w:val="00E73425"/>
    <w:rsid w:val="00E74359"/>
    <w:rsid w:val="00E77E0E"/>
    <w:rsid w:val="00E77E98"/>
    <w:rsid w:val="00E77EAA"/>
    <w:rsid w:val="00E8076F"/>
    <w:rsid w:val="00E812AC"/>
    <w:rsid w:val="00E821D7"/>
    <w:rsid w:val="00E8274E"/>
    <w:rsid w:val="00E847ED"/>
    <w:rsid w:val="00E87406"/>
    <w:rsid w:val="00E87479"/>
    <w:rsid w:val="00E87A9C"/>
    <w:rsid w:val="00E87B7D"/>
    <w:rsid w:val="00E87EAD"/>
    <w:rsid w:val="00E9045F"/>
    <w:rsid w:val="00E91EC5"/>
    <w:rsid w:val="00E920C5"/>
    <w:rsid w:val="00E92BE9"/>
    <w:rsid w:val="00E934A6"/>
    <w:rsid w:val="00E958C4"/>
    <w:rsid w:val="00E97011"/>
    <w:rsid w:val="00E97303"/>
    <w:rsid w:val="00E973E3"/>
    <w:rsid w:val="00E9788D"/>
    <w:rsid w:val="00E978B5"/>
    <w:rsid w:val="00E97D98"/>
    <w:rsid w:val="00EA0048"/>
    <w:rsid w:val="00EA0096"/>
    <w:rsid w:val="00EA0692"/>
    <w:rsid w:val="00EA1466"/>
    <w:rsid w:val="00EA163F"/>
    <w:rsid w:val="00EA2696"/>
    <w:rsid w:val="00EA3363"/>
    <w:rsid w:val="00EA34B8"/>
    <w:rsid w:val="00EA38DB"/>
    <w:rsid w:val="00EA3E7A"/>
    <w:rsid w:val="00EA3FD8"/>
    <w:rsid w:val="00EA4330"/>
    <w:rsid w:val="00EA5BC8"/>
    <w:rsid w:val="00EA5EB5"/>
    <w:rsid w:val="00EA5EFF"/>
    <w:rsid w:val="00EA6061"/>
    <w:rsid w:val="00EA74CD"/>
    <w:rsid w:val="00EB196C"/>
    <w:rsid w:val="00EB2541"/>
    <w:rsid w:val="00EB2A4D"/>
    <w:rsid w:val="00EB349C"/>
    <w:rsid w:val="00EB3DC5"/>
    <w:rsid w:val="00EB3EA1"/>
    <w:rsid w:val="00EB4149"/>
    <w:rsid w:val="00EB4CA7"/>
    <w:rsid w:val="00EB574C"/>
    <w:rsid w:val="00EB5C61"/>
    <w:rsid w:val="00EB5D91"/>
    <w:rsid w:val="00EB73AE"/>
    <w:rsid w:val="00EB7DB2"/>
    <w:rsid w:val="00EC014C"/>
    <w:rsid w:val="00EC07AC"/>
    <w:rsid w:val="00EC102A"/>
    <w:rsid w:val="00EC14D9"/>
    <w:rsid w:val="00EC1F02"/>
    <w:rsid w:val="00EC2129"/>
    <w:rsid w:val="00EC24FD"/>
    <w:rsid w:val="00EC2961"/>
    <w:rsid w:val="00EC2A7A"/>
    <w:rsid w:val="00EC34DF"/>
    <w:rsid w:val="00EC3999"/>
    <w:rsid w:val="00EC3A76"/>
    <w:rsid w:val="00EC4BDE"/>
    <w:rsid w:val="00EC4DB9"/>
    <w:rsid w:val="00EC5023"/>
    <w:rsid w:val="00EC57DE"/>
    <w:rsid w:val="00EC66F2"/>
    <w:rsid w:val="00EC74EE"/>
    <w:rsid w:val="00EC7A06"/>
    <w:rsid w:val="00EC7B7C"/>
    <w:rsid w:val="00ED12BE"/>
    <w:rsid w:val="00ED1D39"/>
    <w:rsid w:val="00ED27E5"/>
    <w:rsid w:val="00ED3597"/>
    <w:rsid w:val="00ED3E23"/>
    <w:rsid w:val="00ED485F"/>
    <w:rsid w:val="00ED51E1"/>
    <w:rsid w:val="00ED5598"/>
    <w:rsid w:val="00ED5AF8"/>
    <w:rsid w:val="00ED5EA1"/>
    <w:rsid w:val="00ED67F8"/>
    <w:rsid w:val="00ED6985"/>
    <w:rsid w:val="00ED6B1B"/>
    <w:rsid w:val="00ED7F5B"/>
    <w:rsid w:val="00EE02CF"/>
    <w:rsid w:val="00EE0AAC"/>
    <w:rsid w:val="00EE11DA"/>
    <w:rsid w:val="00EE15B3"/>
    <w:rsid w:val="00EE1BC5"/>
    <w:rsid w:val="00EE2345"/>
    <w:rsid w:val="00EE2436"/>
    <w:rsid w:val="00EE2B66"/>
    <w:rsid w:val="00EE2E28"/>
    <w:rsid w:val="00EE417F"/>
    <w:rsid w:val="00EE470A"/>
    <w:rsid w:val="00EE47E7"/>
    <w:rsid w:val="00EE4AA1"/>
    <w:rsid w:val="00EE5189"/>
    <w:rsid w:val="00EE564A"/>
    <w:rsid w:val="00EE58BF"/>
    <w:rsid w:val="00EE6BDC"/>
    <w:rsid w:val="00EE6FB7"/>
    <w:rsid w:val="00EF132F"/>
    <w:rsid w:val="00EF1652"/>
    <w:rsid w:val="00EF1C0D"/>
    <w:rsid w:val="00EF24DD"/>
    <w:rsid w:val="00EF26E9"/>
    <w:rsid w:val="00EF2C0A"/>
    <w:rsid w:val="00EF32D1"/>
    <w:rsid w:val="00EF367C"/>
    <w:rsid w:val="00EF3763"/>
    <w:rsid w:val="00EF3B41"/>
    <w:rsid w:val="00EF4FD1"/>
    <w:rsid w:val="00EF5884"/>
    <w:rsid w:val="00EF5A30"/>
    <w:rsid w:val="00EF636C"/>
    <w:rsid w:val="00EF66E3"/>
    <w:rsid w:val="00EF7AD1"/>
    <w:rsid w:val="00F007FA"/>
    <w:rsid w:val="00F00CDD"/>
    <w:rsid w:val="00F00E12"/>
    <w:rsid w:val="00F012B1"/>
    <w:rsid w:val="00F0152D"/>
    <w:rsid w:val="00F01C3C"/>
    <w:rsid w:val="00F02162"/>
    <w:rsid w:val="00F0291D"/>
    <w:rsid w:val="00F029D8"/>
    <w:rsid w:val="00F02A92"/>
    <w:rsid w:val="00F02B44"/>
    <w:rsid w:val="00F04857"/>
    <w:rsid w:val="00F04D5D"/>
    <w:rsid w:val="00F067C2"/>
    <w:rsid w:val="00F0706C"/>
    <w:rsid w:val="00F07277"/>
    <w:rsid w:val="00F07A98"/>
    <w:rsid w:val="00F102B0"/>
    <w:rsid w:val="00F10673"/>
    <w:rsid w:val="00F1166D"/>
    <w:rsid w:val="00F1181C"/>
    <w:rsid w:val="00F11A6D"/>
    <w:rsid w:val="00F125F3"/>
    <w:rsid w:val="00F14514"/>
    <w:rsid w:val="00F148B2"/>
    <w:rsid w:val="00F14BF2"/>
    <w:rsid w:val="00F15C6C"/>
    <w:rsid w:val="00F16673"/>
    <w:rsid w:val="00F174FF"/>
    <w:rsid w:val="00F1779C"/>
    <w:rsid w:val="00F1780A"/>
    <w:rsid w:val="00F17D5E"/>
    <w:rsid w:val="00F17FDA"/>
    <w:rsid w:val="00F2011D"/>
    <w:rsid w:val="00F209C2"/>
    <w:rsid w:val="00F21CE8"/>
    <w:rsid w:val="00F22455"/>
    <w:rsid w:val="00F23217"/>
    <w:rsid w:val="00F23546"/>
    <w:rsid w:val="00F23E53"/>
    <w:rsid w:val="00F23E72"/>
    <w:rsid w:val="00F24237"/>
    <w:rsid w:val="00F248A4"/>
    <w:rsid w:val="00F2523B"/>
    <w:rsid w:val="00F252A7"/>
    <w:rsid w:val="00F264CE"/>
    <w:rsid w:val="00F27082"/>
    <w:rsid w:val="00F271C9"/>
    <w:rsid w:val="00F27246"/>
    <w:rsid w:val="00F274BF"/>
    <w:rsid w:val="00F27A32"/>
    <w:rsid w:val="00F27D23"/>
    <w:rsid w:val="00F314A9"/>
    <w:rsid w:val="00F31587"/>
    <w:rsid w:val="00F3213A"/>
    <w:rsid w:val="00F3274E"/>
    <w:rsid w:val="00F33539"/>
    <w:rsid w:val="00F345F1"/>
    <w:rsid w:val="00F3462E"/>
    <w:rsid w:val="00F34A8B"/>
    <w:rsid w:val="00F34C98"/>
    <w:rsid w:val="00F34E42"/>
    <w:rsid w:val="00F356A6"/>
    <w:rsid w:val="00F35DF9"/>
    <w:rsid w:val="00F35F9A"/>
    <w:rsid w:val="00F3693E"/>
    <w:rsid w:val="00F36A29"/>
    <w:rsid w:val="00F37012"/>
    <w:rsid w:val="00F40CF0"/>
    <w:rsid w:val="00F4133C"/>
    <w:rsid w:val="00F41F7F"/>
    <w:rsid w:val="00F42046"/>
    <w:rsid w:val="00F420EB"/>
    <w:rsid w:val="00F442C1"/>
    <w:rsid w:val="00F44F99"/>
    <w:rsid w:val="00F456DC"/>
    <w:rsid w:val="00F45B18"/>
    <w:rsid w:val="00F46F1E"/>
    <w:rsid w:val="00F5027A"/>
    <w:rsid w:val="00F50E37"/>
    <w:rsid w:val="00F512E8"/>
    <w:rsid w:val="00F5182F"/>
    <w:rsid w:val="00F51E04"/>
    <w:rsid w:val="00F521A6"/>
    <w:rsid w:val="00F52B84"/>
    <w:rsid w:val="00F531FC"/>
    <w:rsid w:val="00F54A4A"/>
    <w:rsid w:val="00F54BDF"/>
    <w:rsid w:val="00F562DE"/>
    <w:rsid w:val="00F56637"/>
    <w:rsid w:val="00F56C88"/>
    <w:rsid w:val="00F56EAB"/>
    <w:rsid w:val="00F572B5"/>
    <w:rsid w:val="00F572B7"/>
    <w:rsid w:val="00F5753F"/>
    <w:rsid w:val="00F57559"/>
    <w:rsid w:val="00F578F3"/>
    <w:rsid w:val="00F57922"/>
    <w:rsid w:val="00F60AAC"/>
    <w:rsid w:val="00F60D93"/>
    <w:rsid w:val="00F60F99"/>
    <w:rsid w:val="00F616F6"/>
    <w:rsid w:val="00F617D9"/>
    <w:rsid w:val="00F61B7A"/>
    <w:rsid w:val="00F62A9B"/>
    <w:rsid w:val="00F640BE"/>
    <w:rsid w:val="00F64156"/>
    <w:rsid w:val="00F6431A"/>
    <w:rsid w:val="00F64B7F"/>
    <w:rsid w:val="00F65763"/>
    <w:rsid w:val="00F65973"/>
    <w:rsid w:val="00F65A09"/>
    <w:rsid w:val="00F65FBE"/>
    <w:rsid w:val="00F66FEC"/>
    <w:rsid w:val="00F679DA"/>
    <w:rsid w:val="00F70979"/>
    <w:rsid w:val="00F70FCE"/>
    <w:rsid w:val="00F715DF"/>
    <w:rsid w:val="00F71B43"/>
    <w:rsid w:val="00F71F72"/>
    <w:rsid w:val="00F757F2"/>
    <w:rsid w:val="00F75F42"/>
    <w:rsid w:val="00F76037"/>
    <w:rsid w:val="00F7637F"/>
    <w:rsid w:val="00F76391"/>
    <w:rsid w:val="00F76558"/>
    <w:rsid w:val="00F766DA"/>
    <w:rsid w:val="00F77335"/>
    <w:rsid w:val="00F77B22"/>
    <w:rsid w:val="00F77BA2"/>
    <w:rsid w:val="00F8053B"/>
    <w:rsid w:val="00F80EB7"/>
    <w:rsid w:val="00F80EFD"/>
    <w:rsid w:val="00F81F7D"/>
    <w:rsid w:val="00F82EB6"/>
    <w:rsid w:val="00F83154"/>
    <w:rsid w:val="00F839FF"/>
    <w:rsid w:val="00F83CF1"/>
    <w:rsid w:val="00F84107"/>
    <w:rsid w:val="00F858C6"/>
    <w:rsid w:val="00F876EC"/>
    <w:rsid w:val="00F87A0D"/>
    <w:rsid w:val="00F91EDD"/>
    <w:rsid w:val="00F91FDD"/>
    <w:rsid w:val="00F923E9"/>
    <w:rsid w:val="00F9259A"/>
    <w:rsid w:val="00F92840"/>
    <w:rsid w:val="00F92DC1"/>
    <w:rsid w:val="00F93BCE"/>
    <w:rsid w:val="00F93D48"/>
    <w:rsid w:val="00F94EA0"/>
    <w:rsid w:val="00F95C6D"/>
    <w:rsid w:val="00F9738A"/>
    <w:rsid w:val="00F974F3"/>
    <w:rsid w:val="00F97B20"/>
    <w:rsid w:val="00F97B8A"/>
    <w:rsid w:val="00FA0B64"/>
    <w:rsid w:val="00FA0B91"/>
    <w:rsid w:val="00FA1486"/>
    <w:rsid w:val="00FA1842"/>
    <w:rsid w:val="00FA1A8F"/>
    <w:rsid w:val="00FA29EF"/>
    <w:rsid w:val="00FA3709"/>
    <w:rsid w:val="00FA3993"/>
    <w:rsid w:val="00FA39D6"/>
    <w:rsid w:val="00FA3EA5"/>
    <w:rsid w:val="00FA43C2"/>
    <w:rsid w:val="00FA4F5E"/>
    <w:rsid w:val="00FA54B2"/>
    <w:rsid w:val="00FA57ED"/>
    <w:rsid w:val="00FA5985"/>
    <w:rsid w:val="00FA64A8"/>
    <w:rsid w:val="00FA6A77"/>
    <w:rsid w:val="00FB03BD"/>
    <w:rsid w:val="00FB0A32"/>
    <w:rsid w:val="00FB11A0"/>
    <w:rsid w:val="00FB265B"/>
    <w:rsid w:val="00FB335F"/>
    <w:rsid w:val="00FB3FE6"/>
    <w:rsid w:val="00FB46CE"/>
    <w:rsid w:val="00FB4BA9"/>
    <w:rsid w:val="00FB4C94"/>
    <w:rsid w:val="00FB58BB"/>
    <w:rsid w:val="00FB596C"/>
    <w:rsid w:val="00FB5CF8"/>
    <w:rsid w:val="00FB6248"/>
    <w:rsid w:val="00FB6BE5"/>
    <w:rsid w:val="00FC044C"/>
    <w:rsid w:val="00FC0A4B"/>
    <w:rsid w:val="00FC1313"/>
    <w:rsid w:val="00FC21A5"/>
    <w:rsid w:val="00FC3188"/>
    <w:rsid w:val="00FC4494"/>
    <w:rsid w:val="00FC4AFC"/>
    <w:rsid w:val="00FC564E"/>
    <w:rsid w:val="00FC604E"/>
    <w:rsid w:val="00FC74CF"/>
    <w:rsid w:val="00FD0308"/>
    <w:rsid w:val="00FD0974"/>
    <w:rsid w:val="00FD188A"/>
    <w:rsid w:val="00FD1905"/>
    <w:rsid w:val="00FD1C7E"/>
    <w:rsid w:val="00FD1D32"/>
    <w:rsid w:val="00FD4A0F"/>
    <w:rsid w:val="00FD4B88"/>
    <w:rsid w:val="00FD4C67"/>
    <w:rsid w:val="00FD4E6D"/>
    <w:rsid w:val="00FD5259"/>
    <w:rsid w:val="00FD71D1"/>
    <w:rsid w:val="00FD7767"/>
    <w:rsid w:val="00FE03A0"/>
    <w:rsid w:val="00FE0DF1"/>
    <w:rsid w:val="00FE12B4"/>
    <w:rsid w:val="00FE1AD5"/>
    <w:rsid w:val="00FE1E56"/>
    <w:rsid w:val="00FE211E"/>
    <w:rsid w:val="00FE2603"/>
    <w:rsid w:val="00FE3625"/>
    <w:rsid w:val="00FE3B6E"/>
    <w:rsid w:val="00FE5B2A"/>
    <w:rsid w:val="00FE6443"/>
    <w:rsid w:val="00FE6685"/>
    <w:rsid w:val="00FE6A03"/>
    <w:rsid w:val="00FE7213"/>
    <w:rsid w:val="00FE7C9C"/>
    <w:rsid w:val="00FF0154"/>
    <w:rsid w:val="00FF07D7"/>
    <w:rsid w:val="00FF09EA"/>
    <w:rsid w:val="00FF1A1E"/>
    <w:rsid w:val="00FF20A4"/>
    <w:rsid w:val="00FF2CFC"/>
    <w:rsid w:val="00FF2DBC"/>
    <w:rsid w:val="00FF2F42"/>
    <w:rsid w:val="00FF425C"/>
    <w:rsid w:val="00FF57AF"/>
    <w:rsid w:val="00FF657C"/>
    <w:rsid w:val="00FF68DD"/>
    <w:rsid w:val="00FF6E95"/>
    <w:rsid w:val="00FF7591"/>
    <w:rsid w:val="00FF77EF"/>
    <w:rsid w:val="00FF7858"/>
    <w:rsid w:val="00FF7ABA"/>
    <w:rsid w:val="013A1130"/>
    <w:rsid w:val="01474512"/>
    <w:rsid w:val="01905710"/>
    <w:rsid w:val="01B53780"/>
    <w:rsid w:val="02236824"/>
    <w:rsid w:val="028426B0"/>
    <w:rsid w:val="031B2597"/>
    <w:rsid w:val="03AB679F"/>
    <w:rsid w:val="03D012A8"/>
    <w:rsid w:val="0476464C"/>
    <w:rsid w:val="04BF387D"/>
    <w:rsid w:val="04F92F58"/>
    <w:rsid w:val="057D35B7"/>
    <w:rsid w:val="059B3AAE"/>
    <w:rsid w:val="05C86530"/>
    <w:rsid w:val="062B4BF2"/>
    <w:rsid w:val="0686670B"/>
    <w:rsid w:val="06984505"/>
    <w:rsid w:val="069F7C10"/>
    <w:rsid w:val="076013E0"/>
    <w:rsid w:val="078A04F7"/>
    <w:rsid w:val="07F54BC0"/>
    <w:rsid w:val="082008CE"/>
    <w:rsid w:val="084E3529"/>
    <w:rsid w:val="08732BE6"/>
    <w:rsid w:val="096B180A"/>
    <w:rsid w:val="09705438"/>
    <w:rsid w:val="098C7AE5"/>
    <w:rsid w:val="09933D81"/>
    <w:rsid w:val="09A815EF"/>
    <w:rsid w:val="09BF0A5F"/>
    <w:rsid w:val="09E7370B"/>
    <w:rsid w:val="09FF14CE"/>
    <w:rsid w:val="0A800311"/>
    <w:rsid w:val="0A970165"/>
    <w:rsid w:val="0B6D3222"/>
    <w:rsid w:val="0BCF050F"/>
    <w:rsid w:val="0C5F6626"/>
    <w:rsid w:val="0D0A5D09"/>
    <w:rsid w:val="0D533931"/>
    <w:rsid w:val="0D8060B5"/>
    <w:rsid w:val="0E0A7653"/>
    <w:rsid w:val="0E7526B5"/>
    <w:rsid w:val="10435247"/>
    <w:rsid w:val="10817ED7"/>
    <w:rsid w:val="11647498"/>
    <w:rsid w:val="11D3202B"/>
    <w:rsid w:val="12430C37"/>
    <w:rsid w:val="125E6002"/>
    <w:rsid w:val="12CC0B5C"/>
    <w:rsid w:val="12F05378"/>
    <w:rsid w:val="130A06A1"/>
    <w:rsid w:val="131706BA"/>
    <w:rsid w:val="13297A0D"/>
    <w:rsid w:val="132C75E5"/>
    <w:rsid w:val="14DB3B34"/>
    <w:rsid w:val="159D60AA"/>
    <w:rsid w:val="160E074B"/>
    <w:rsid w:val="161533F4"/>
    <w:rsid w:val="166951DF"/>
    <w:rsid w:val="168A7548"/>
    <w:rsid w:val="168E35F3"/>
    <w:rsid w:val="16A91B3E"/>
    <w:rsid w:val="16D704B9"/>
    <w:rsid w:val="170C0021"/>
    <w:rsid w:val="178072CB"/>
    <w:rsid w:val="17C5097C"/>
    <w:rsid w:val="17CD7F2C"/>
    <w:rsid w:val="186B67DE"/>
    <w:rsid w:val="18AC3253"/>
    <w:rsid w:val="18C01770"/>
    <w:rsid w:val="194444AB"/>
    <w:rsid w:val="19503D2D"/>
    <w:rsid w:val="1A4C04ED"/>
    <w:rsid w:val="1A4D7C55"/>
    <w:rsid w:val="1A5D6BD9"/>
    <w:rsid w:val="1AA33CBC"/>
    <w:rsid w:val="1AF95386"/>
    <w:rsid w:val="1B30632B"/>
    <w:rsid w:val="1B3D3845"/>
    <w:rsid w:val="1BE95AA6"/>
    <w:rsid w:val="1D49300A"/>
    <w:rsid w:val="1D6C20DF"/>
    <w:rsid w:val="1E020D3D"/>
    <w:rsid w:val="1E491587"/>
    <w:rsid w:val="1EBF464D"/>
    <w:rsid w:val="1EC16D2C"/>
    <w:rsid w:val="1EC835CB"/>
    <w:rsid w:val="1F2C7FBC"/>
    <w:rsid w:val="1FF76471"/>
    <w:rsid w:val="201574A1"/>
    <w:rsid w:val="20183540"/>
    <w:rsid w:val="20822DE8"/>
    <w:rsid w:val="20907F02"/>
    <w:rsid w:val="20CB5CFA"/>
    <w:rsid w:val="20CC07CE"/>
    <w:rsid w:val="21080173"/>
    <w:rsid w:val="21350F58"/>
    <w:rsid w:val="21560235"/>
    <w:rsid w:val="21913DBA"/>
    <w:rsid w:val="22564C3B"/>
    <w:rsid w:val="227117F0"/>
    <w:rsid w:val="22E91128"/>
    <w:rsid w:val="23CD1FB5"/>
    <w:rsid w:val="23F519CD"/>
    <w:rsid w:val="24287BD3"/>
    <w:rsid w:val="24340275"/>
    <w:rsid w:val="243D3B7F"/>
    <w:rsid w:val="247A3E39"/>
    <w:rsid w:val="248F341C"/>
    <w:rsid w:val="24983B90"/>
    <w:rsid w:val="24AC7022"/>
    <w:rsid w:val="24BD2B03"/>
    <w:rsid w:val="24E21EE4"/>
    <w:rsid w:val="24F0157F"/>
    <w:rsid w:val="24F417CC"/>
    <w:rsid w:val="250658E9"/>
    <w:rsid w:val="265E792E"/>
    <w:rsid w:val="26637109"/>
    <w:rsid w:val="26647764"/>
    <w:rsid w:val="26F85FDC"/>
    <w:rsid w:val="27535BB4"/>
    <w:rsid w:val="2760332F"/>
    <w:rsid w:val="27B3637A"/>
    <w:rsid w:val="28E42CCF"/>
    <w:rsid w:val="28FC2B64"/>
    <w:rsid w:val="29005427"/>
    <w:rsid w:val="29992D97"/>
    <w:rsid w:val="29E83B4C"/>
    <w:rsid w:val="2A5B30DB"/>
    <w:rsid w:val="2A830702"/>
    <w:rsid w:val="2ABE5E63"/>
    <w:rsid w:val="2AED5238"/>
    <w:rsid w:val="2AFD3C60"/>
    <w:rsid w:val="2B861670"/>
    <w:rsid w:val="2BA2006A"/>
    <w:rsid w:val="2C05252B"/>
    <w:rsid w:val="2C0F4C44"/>
    <w:rsid w:val="2C270DD2"/>
    <w:rsid w:val="2C8B6B16"/>
    <w:rsid w:val="2D4A1A33"/>
    <w:rsid w:val="2DDB2055"/>
    <w:rsid w:val="2E5D662D"/>
    <w:rsid w:val="2F136099"/>
    <w:rsid w:val="2F3B15D1"/>
    <w:rsid w:val="2FA05626"/>
    <w:rsid w:val="2FD67739"/>
    <w:rsid w:val="307D6F3E"/>
    <w:rsid w:val="30830218"/>
    <w:rsid w:val="30C52AF8"/>
    <w:rsid w:val="31195BDD"/>
    <w:rsid w:val="31552BA5"/>
    <w:rsid w:val="31626EEC"/>
    <w:rsid w:val="31BA1499"/>
    <w:rsid w:val="31E53686"/>
    <w:rsid w:val="32556B94"/>
    <w:rsid w:val="32862880"/>
    <w:rsid w:val="339300E8"/>
    <w:rsid w:val="33A50463"/>
    <w:rsid w:val="33CE5C5B"/>
    <w:rsid w:val="342C1FFE"/>
    <w:rsid w:val="344147A5"/>
    <w:rsid w:val="3453357D"/>
    <w:rsid w:val="34D74C20"/>
    <w:rsid w:val="353051D1"/>
    <w:rsid w:val="35431026"/>
    <w:rsid w:val="360E45AE"/>
    <w:rsid w:val="36635BF9"/>
    <w:rsid w:val="36937331"/>
    <w:rsid w:val="36B55F6B"/>
    <w:rsid w:val="37316B00"/>
    <w:rsid w:val="37396ED7"/>
    <w:rsid w:val="37E80F39"/>
    <w:rsid w:val="37F41BB3"/>
    <w:rsid w:val="38157B80"/>
    <w:rsid w:val="382F5281"/>
    <w:rsid w:val="38455D28"/>
    <w:rsid w:val="38CD18D2"/>
    <w:rsid w:val="39B1799E"/>
    <w:rsid w:val="3A496F92"/>
    <w:rsid w:val="3A8C029D"/>
    <w:rsid w:val="3B7D4803"/>
    <w:rsid w:val="3BBC0B3B"/>
    <w:rsid w:val="3BBC511F"/>
    <w:rsid w:val="3BDB63DE"/>
    <w:rsid w:val="3C022718"/>
    <w:rsid w:val="3CEB1852"/>
    <w:rsid w:val="3D0F5AFE"/>
    <w:rsid w:val="3D23026F"/>
    <w:rsid w:val="3DCE17F9"/>
    <w:rsid w:val="3DD63BA2"/>
    <w:rsid w:val="3E07767A"/>
    <w:rsid w:val="3E5D33E1"/>
    <w:rsid w:val="3E743817"/>
    <w:rsid w:val="3E9E5DB4"/>
    <w:rsid w:val="3EC035FB"/>
    <w:rsid w:val="3F5102FC"/>
    <w:rsid w:val="3F537196"/>
    <w:rsid w:val="3F662721"/>
    <w:rsid w:val="3F83211A"/>
    <w:rsid w:val="3F9F114C"/>
    <w:rsid w:val="3FBE237E"/>
    <w:rsid w:val="3FD008F7"/>
    <w:rsid w:val="3FDC2B95"/>
    <w:rsid w:val="4062059F"/>
    <w:rsid w:val="41122B16"/>
    <w:rsid w:val="416870FB"/>
    <w:rsid w:val="41912701"/>
    <w:rsid w:val="41CE7D37"/>
    <w:rsid w:val="41D85F1B"/>
    <w:rsid w:val="41FA15A4"/>
    <w:rsid w:val="42355F51"/>
    <w:rsid w:val="42465FDE"/>
    <w:rsid w:val="42884742"/>
    <w:rsid w:val="429144B6"/>
    <w:rsid w:val="42AE5AE3"/>
    <w:rsid w:val="43205265"/>
    <w:rsid w:val="435A19B8"/>
    <w:rsid w:val="43B97087"/>
    <w:rsid w:val="43C85B6C"/>
    <w:rsid w:val="444075FB"/>
    <w:rsid w:val="44717C3B"/>
    <w:rsid w:val="44BE65E0"/>
    <w:rsid w:val="45045AC7"/>
    <w:rsid w:val="455F7633"/>
    <w:rsid w:val="458E64E3"/>
    <w:rsid w:val="465D36F9"/>
    <w:rsid w:val="47044815"/>
    <w:rsid w:val="471D5D1F"/>
    <w:rsid w:val="472A4DB0"/>
    <w:rsid w:val="4738342D"/>
    <w:rsid w:val="48506B8D"/>
    <w:rsid w:val="486C005E"/>
    <w:rsid w:val="49FF35F0"/>
    <w:rsid w:val="4A8E43FC"/>
    <w:rsid w:val="4B1005E7"/>
    <w:rsid w:val="4B582BD7"/>
    <w:rsid w:val="4B9C0EE4"/>
    <w:rsid w:val="4BDB4ECF"/>
    <w:rsid w:val="4C582B91"/>
    <w:rsid w:val="4D202F62"/>
    <w:rsid w:val="4DCB2E58"/>
    <w:rsid w:val="4EA86BDB"/>
    <w:rsid w:val="4EE851A5"/>
    <w:rsid w:val="4F140B78"/>
    <w:rsid w:val="4F2518BB"/>
    <w:rsid w:val="4F5E7ECC"/>
    <w:rsid w:val="4F9D3E8A"/>
    <w:rsid w:val="4FA47FEB"/>
    <w:rsid w:val="50184732"/>
    <w:rsid w:val="50263228"/>
    <w:rsid w:val="504B6639"/>
    <w:rsid w:val="50D802B2"/>
    <w:rsid w:val="50E13A61"/>
    <w:rsid w:val="50E768C2"/>
    <w:rsid w:val="510332A5"/>
    <w:rsid w:val="5146382D"/>
    <w:rsid w:val="516A3109"/>
    <w:rsid w:val="517459E7"/>
    <w:rsid w:val="518911B3"/>
    <w:rsid w:val="519604B6"/>
    <w:rsid w:val="51BA1695"/>
    <w:rsid w:val="523D1809"/>
    <w:rsid w:val="52CE3B68"/>
    <w:rsid w:val="540B48F1"/>
    <w:rsid w:val="54114993"/>
    <w:rsid w:val="54C52B79"/>
    <w:rsid w:val="54F24A86"/>
    <w:rsid w:val="54FE620E"/>
    <w:rsid w:val="553118B0"/>
    <w:rsid w:val="559001B2"/>
    <w:rsid w:val="55B2291D"/>
    <w:rsid w:val="56520AE5"/>
    <w:rsid w:val="576E2CF5"/>
    <w:rsid w:val="58290EC7"/>
    <w:rsid w:val="58AC24B2"/>
    <w:rsid w:val="58B87927"/>
    <w:rsid w:val="592B6D0A"/>
    <w:rsid w:val="593144FC"/>
    <w:rsid w:val="593909F6"/>
    <w:rsid w:val="59545948"/>
    <w:rsid w:val="5A521EF4"/>
    <w:rsid w:val="5A6D682C"/>
    <w:rsid w:val="5B3B15CF"/>
    <w:rsid w:val="5C5408DC"/>
    <w:rsid w:val="5CCA5A2B"/>
    <w:rsid w:val="5D1A42DE"/>
    <w:rsid w:val="5D4221F0"/>
    <w:rsid w:val="5DBE49B2"/>
    <w:rsid w:val="5E057968"/>
    <w:rsid w:val="5EA82DB6"/>
    <w:rsid w:val="5F001790"/>
    <w:rsid w:val="5F726888"/>
    <w:rsid w:val="5F751977"/>
    <w:rsid w:val="600913B2"/>
    <w:rsid w:val="60461B2D"/>
    <w:rsid w:val="60754BB7"/>
    <w:rsid w:val="60764CF9"/>
    <w:rsid w:val="610A32A7"/>
    <w:rsid w:val="61552F0D"/>
    <w:rsid w:val="61BE487C"/>
    <w:rsid w:val="61CC7B3D"/>
    <w:rsid w:val="620B22C0"/>
    <w:rsid w:val="623E7551"/>
    <w:rsid w:val="624A5543"/>
    <w:rsid w:val="62FB32C7"/>
    <w:rsid w:val="63091291"/>
    <w:rsid w:val="63462E7A"/>
    <w:rsid w:val="63AC6F8D"/>
    <w:rsid w:val="63E35D12"/>
    <w:rsid w:val="63FE4EB5"/>
    <w:rsid w:val="645C08F1"/>
    <w:rsid w:val="64785BA5"/>
    <w:rsid w:val="648A47B6"/>
    <w:rsid w:val="648F4E80"/>
    <w:rsid w:val="65676711"/>
    <w:rsid w:val="65E701F7"/>
    <w:rsid w:val="660D486A"/>
    <w:rsid w:val="66243DCB"/>
    <w:rsid w:val="66F74058"/>
    <w:rsid w:val="670B0904"/>
    <w:rsid w:val="671F6FDB"/>
    <w:rsid w:val="679720DB"/>
    <w:rsid w:val="67BB3C02"/>
    <w:rsid w:val="68127CA1"/>
    <w:rsid w:val="68462EA0"/>
    <w:rsid w:val="68546102"/>
    <w:rsid w:val="687745C5"/>
    <w:rsid w:val="68A13454"/>
    <w:rsid w:val="6924256B"/>
    <w:rsid w:val="69300193"/>
    <w:rsid w:val="6A5450AB"/>
    <w:rsid w:val="6A6754CD"/>
    <w:rsid w:val="6A945A9B"/>
    <w:rsid w:val="6AEA2988"/>
    <w:rsid w:val="6AFB2BB3"/>
    <w:rsid w:val="6B155834"/>
    <w:rsid w:val="6BE10C67"/>
    <w:rsid w:val="6C490484"/>
    <w:rsid w:val="6CA874F3"/>
    <w:rsid w:val="6CD5347D"/>
    <w:rsid w:val="6CF55FCB"/>
    <w:rsid w:val="6D1C038D"/>
    <w:rsid w:val="6D777B45"/>
    <w:rsid w:val="6DBA4ADA"/>
    <w:rsid w:val="6DD0636B"/>
    <w:rsid w:val="6E033242"/>
    <w:rsid w:val="6E207C96"/>
    <w:rsid w:val="6E450AE0"/>
    <w:rsid w:val="6E636E1D"/>
    <w:rsid w:val="6EB159C7"/>
    <w:rsid w:val="6EC05B55"/>
    <w:rsid w:val="6EE460F8"/>
    <w:rsid w:val="6F0C033D"/>
    <w:rsid w:val="6F25742D"/>
    <w:rsid w:val="6F5748DD"/>
    <w:rsid w:val="6F6A455F"/>
    <w:rsid w:val="6F760B24"/>
    <w:rsid w:val="700B3712"/>
    <w:rsid w:val="703B084C"/>
    <w:rsid w:val="70B70481"/>
    <w:rsid w:val="70E338F8"/>
    <w:rsid w:val="71D92F74"/>
    <w:rsid w:val="721232F7"/>
    <w:rsid w:val="7214068D"/>
    <w:rsid w:val="72876DEB"/>
    <w:rsid w:val="72C82DDB"/>
    <w:rsid w:val="72CE307C"/>
    <w:rsid w:val="73213242"/>
    <w:rsid w:val="736C0658"/>
    <w:rsid w:val="742B41E8"/>
    <w:rsid w:val="75094481"/>
    <w:rsid w:val="75315330"/>
    <w:rsid w:val="758637D4"/>
    <w:rsid w:val="760826FB"/>
    <w:rsid w:val="767A627F"/>
    <w:rsid w:val="76970BE9"/>
    <w:rsid w:val="76AE5B29"/>
    <w:rsid w:val="76C02781"/>
    <w:rsid w:val="775117EF"/>
    <w:rsid w:val="777C2CA0"/>
    <w:rsid w:val="778B254E"/>
    <w:rsid w:val="77900E7D"/>
    <w:rsid w:val="7872717E"/>
    <w:rsid w:val="791F21A9"/>
    <w:rsid w:val="79B77AFD"/>
    <w:rsid w:val="7A462E91"/>
    <w:rsid w:val="7A996E9A"/>
    <w:rsid w:val="7A9A1EA4"/>
    <w:rsid w:val="7AA0261E"/>
    <w:rsid w:val="7ABA4E4E"/>
    <w:rsid w:val="7AFD5EEC"/>
    <w:rsid w:val="7B127A63"/>
    <w:rsid w:val="7B1A2C8D"/>
    <w:rsid w:val="7B6B270A"/>
    <w:rsid w:val="7B6D3913"/>
    <w:rsid w:val="7BBC5AB7"/>
    <w:rsid w:val="7BBE3A01"/>
    <w:rsid w:val="7BCD6BDC"/>
    <w:rsid w:val="7CAB1C8C"/>
    <w:rsid w:val="7D374FCD"/>
    <w:rsid w:val="7D424EAA"/>
    <w:rsid w:val="7D464CFB"/>
    <w:rsid w:val="7DD341AE"/>
    <w:rsid w:val="7E18219E"/>
    <w:rsid w:val="7E206EC8"/>
    <w:rsid w:val="7E286A6E"/>
    <w:rsid w:val="7E490FDF"/>
    <w:rsid w:val="7E750D36"/>
    <w:rsid w:val="7EA94C29"/>
    <w:rsid w:val="7FD13BE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qFormat="1" w:unhideWhenUsed="0" w:uiPriority="0" w:semiHidden="0" w:name="List Number"/>
    <w:lsdException w:qFormat="1" w:uiPriority="99" w:semiHidden="0"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nhideWhenUsed="0" w:uiPriority="0" w:semiHidden="0" w:name="Body Text First Indent"/>
    <w:lsdException w:qFormat="1" w:uiPriority="0" w:semiHidden="0" w:name="Body Text First Indent 2"/>
    <w:lsdException w:uiPriority="99" w:name="Note Heading"/>
    <w:lsdException w:qFormat="1" w:unhideWhenUsed="0" w:uiPriority="0" w:semiHidden="0"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semiHidden="0" w:name="FollowedHyperlink"/>
    <w:lsdException w:qFormat="1" w:unhideWhenUsed="0" w:uiPriority="0" w:semiHidden="0" w:name="Strong"/>
    <w:lsdException w:qFormat="1" w:unhideWhenUsed="0" w:uiPriority="20" w:semiHidden="0" w:name="Emphasis"/>
    <w:lsdException w:qFormat="1"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8"/>
      <w:szCs w:val="24"/>
      <w:lang w:val="en-US" w:eastAsia="zh-CN" w:bidi="ar-SA"/>
    </w:rPr>
  </w:style>
  <w:style w:type="paragraph" w:styleId="2">
    <w:name w:val="heading 1"/>
    <w:basedOn w:val="1"/>
    <w:next w:val="1"/>
    <w:link w:val="55"/>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42"/>
    <w:autoRedefine/>
    <w:qFormat/>
    <w:uiPriority w:val="9"/>
    <w:pPr>
      <w:keepNext/>
      <w:keepLines/>
      <w:spacing w:before="260" w:after="260" w:line="416" w:lineRule="auto"/>
      <w:outlineLvl w:val="1"/>
    </w:pPr>
    <w:rPr>
      <w:rFonts w:ascii="Cambria" w:hAnsi="Cambria"/>
      <w:b/>
      <w:bCs/>
      <w:sz w:val="32"/>
      <w:szCs w:val="32"/>
    </w:rPr>
  </w:style>
  <w:style w:type="paragraph" w:styleId="4">
    <w:name w:val="heading 3"/>
    <w:basedOn w:val="1"/>
    <w:next w:val="1"/>
    <w:link w:val="53"/>
    <w:autoRedefine/>
    <w:qFormat/>
    <w:uiPriority w:val="9"/>
    <w:pPr>
      <w:keepNext/>
      <w:keepLines/>
      <w:spacing w:before="260" w:after="260" w:line="416" w:lineRule="auto"/>
      <w:outlineLvl w:val="2"/>
    </w:pPr>
    <w:rPr>
      <w:b/>
      <w:bCs/>
      <w:sz w:val="32"/>
      <w:szCs w:val="32"/>
    </w:rPr>
  </w:style>
  <w:style w:type="character" w:default="1" w:styleId="26">
    <w:name w:val="Default Paragraph Font"/>
    <w:semiHidden/>
    <w:unhideWhenUsed/>
    <w:uiPriority w:val="1"/>
  </w:style>
  <w:style w:type="table" w:default="1" w:styleId="24">
    <w:name w:val="Normal Table"/>
    <w:autoRedefine/>
    <w:semiHidden/>
    <w:unhideWhenUsed/>
    <w:qFormat/>
    <w:uiPriority w:val="99"/>
    <w:tblPr>
      <w:tblCellMar>
        <w:top w:w="0" w:type="dxa"/>
        <w:left w:w="108" w:type="dxa"/>
        <w:bottom w:w="0" w:type="dxa"/>
        <w:right w:w="108" w:type="dxa"/>
      </w:tblCellMar>
    </w:tblPr>
  </w:style>
  <w:style w:type="paragraph" w:styleId="5">
    <w:name w:val="List Number"/>
    <w:basedOn w:val="1"/>
    <w:autoRedefine/>
    <w:qFormat/>
    <w:uiPriority w:val="0"/>
    <w:pPr>
      <w:widowControl/>
      <w:numPr>
        <w:ilvl w:val="0"/>
        <w:numId w:val="1"/>
      </w:numPr>
      <w:tabs>
        <w:tab w:val="left" w:pos="454"/>
        <w:tab w:val="clear" w:pos="720"/>
      </w:tabs>
      <w:spacing w:afterLines="50"/>
      <w:ind w:left="454" w:hanging="284"/>
      <w:jc w:val="left"/>
    </w:pPr>
    <w:rPr>
      <w:kern w:val="0"/>
      <w:sz w:val="24"/>
      <w:szCs w:val="20"/>
    </w:rPr>
  </w:style>
  <w:style w:type="paragraph" w:styleId="6">
    <w:name w:val="Normal Indent"/>
    <w:basedOn w:val="1"/>
    <w:link w:val="43"/>
    <w:autoRedefine/>
    <w:qFormat/>
    <w:uiPriority w:val="0"/>
    <w:pPr>
      <w:ind w:firstLine="420"/>
    </w:pPr>
    <w:rPr>
      <w:sz w:val="21"/>
      <w:szCs w:val="20"/>
    </w:rPr>
  </w:style>
  <w:style w:type="paragraph" w:styleId="7">
    <w:name w:val="caption"/>
    <w:basedOn w:val="1"/>
    <w:next w:val="1"/>
    <w:autoRedefine/>
    <w:qFormat/>
    <w:uiPriority w:val="0"/>
    <w:pPr>
      <w:spacing w:before="152" w:after="160"/>
    </w:pPr>
    <w:rPr>
      <w:rFonts w:ascii="Arial" w:hAnsi="Arial" w:eastAsia="黑体" w:cs="Arial"/>
      <w:sz w:val="20"/>
      <w:szCs w:val="20"/>
    </w:rPr>
  </w:style>
  <w:style w:type="paragraph" w:styleId="8">
    <w:name w:val="Document Map"/>
    <w:basedOn w:val="1"/>
    <w:link w:val="69"/>
    <w:autoRedefine/>
    <w:semiHidden/>
    <w:unhideWhenUsed/>
    <w:qFormat/>
    <w:uiPriority w:val="99"/>
    <w:rPr>
      <w:rFonts w:ascii="宋体"/>
      <w:sz w:val="18"/>
      <w:szCs w:val="18"/>
    </w:rPr>
  </w:style>
  <w:style w:type="paragraph" w:styleId="9">
    <w:name w:val="annotation text"/>
    <w:basedOn w:val="1"/>
    <w:link w:val="35"/>
    <w:autoRedefine/>
    <w:unhideWhenUsed/>
    <w:qFormat/>
    <w:uiPriority w:val="99"/>
    <w:pPr>
      <w:jc w:val="left"/>
    </w:pPr>
  </w:style>
  <w:style w:type="paragraph" w:styleId="10">
    <w:name w:val="Body Text"/>
    <w:basedOn w:val="1"/>
    <w:next w:val="1"/>
    <w:link w:val="77"/>
    <w:autoRedefine/>
    <w:semiHidden/>
    <w:unhideWhenUsed/>
    <w:qFormat/>
    <w:uiPriority w:val="99"/>
    <w:pPr>
      <w:spacing w:after="120"/>
    </w:pPr>
  </w:style>
  <w:style w:type="paragraph" w:styleId="11">
    <w:name w:val="Body Text Indent"/>
    <w:basedOn w:val="1"/>
    <w:next w:val="12"/>
    <w:link w:val="54"/>
    <w:autoRedefine/>
    <w:qFormat/>
    <w:uiPriority w:val="0"/>
    <w:pPr>
      <w:spacing w:line="200" w:lineRule="atLeast"/>
      <w:ind w:firstLine="301"/>
    </w:pPr>
    <w:rPr>
      <w:rFonts w:ascii="宋体" w:hAnsi="Courier New"/>
      <w:spacing w:val="-4"/>
      <w:sz w:val="18"/>
      <w:szCs w:val="20"/>
    </w:rPr>
  </w:style>
  <w:style w:type="paragraph" w:styleId="12">
    <w:name w:val="Body Text First Indent 2"/>
    <w:basedOn w:val="11"/>
    <w:next w:val="13"/>
    <w:autoRedefine/>
    <w:unhideWhenUsed/>
    <w:qFormat/>
    <w:uiPriority w:val="0"/>
    <w:pPr>
      <w:spacing w:line="360" w:lineRule="auto"/>
      <w:ind w:firstLine="420" w:firstLineChars="200"/>
    </w:pPr>
    <w:rPr>
      <w:rFonts w:ascii="Calibri" w:hAnsi="Calibri"/>
      <w:sz w:val="24"/>
      <w:szCs w:val="22"/>
    </w:rPr>
  </w:style>
  <w:style w:type="paragraph" w:styleId="13">
    <w:name w:val="Body Text First Indent"/>
    <w:basedOn w:val="10"/>
    <w:next w:val="1"/>
    <w:autoRedefine/>
    <w:qFormat/>
    <w:uiPriority w:val="0"/>
    <w:pPr>
      <w:ind w:firstLine="420" w:firstLineChars="100"/>
    </w:pPr>
  </w:style>
  <w:style w:type="paragraph" w:styleId="14">
    <w:name w:val="List 2"/>
    <w:basedOn w:val="1"/>
    <w:autoRedefine/>
    <w:unhideWhenUsed/>
    <w:qFormat/>
    <w:uiPriority w:val="99"/>
    <w:pPr>
      <w:ind w:left="100" w:leftChars="200" w:hanging="200" w:hangingChars="200"/>
      <w:contextualSpacing/>
    </w:pPr>
  </w:style>
  <w:style w:type="paragraph" w:styleId="15">
    <w:name w:val="Plain Text"/>
    <w:basedOn w:val="1"/>
    <w:link w:val="40"/>
    <w:autoRedefine/>
    <w:qFormat/>
    <w:uiPriority w:val="0"/>
    <w:pPr>
      <w:spacing w:beforeLines="50" w:afterLines="50" w:line="400" w:lineRule="atLeast"/>
    </w:pPr>
    <w:rPr>
      <w:rFonts w:ascii="宋体" w:hAnsi="Courier New"/>
      <w:sz w:val="24"/>
    </w:rPr>
  </w:style>
  <w:style w:type="paragraph" w:styleId="16">
    <w:name w:val="Date"/>
    <w:basedOn w:val="1"/>
    <w:next w:val="1"/>
    <w:autoRedefine/>
    <w:qFormat/>
    <w:uiPriority w:val="0"/>
    <w:pPr>
      <w:ind w:left="2500" w:leftChars="2500"/>
    </w:pPr>
    <w:rPr>
      <w:rFonts w:eastAsia="楷体_GB2312"/>
      <w:sz w:val="32"/>
      <w:szCs w:val="20"/>
    </w:rPr>
  </w:style>
  <w:style w:type="paragraph" w:styleId="17">
    <w:name w:val="Balloon Text"/>
    <w:basedOn w:val="1"/>
    <w:autoRedefine/>
    <w:qFormat/>
    <w:uiPriority w:val="0"/>
    <w:rPr>
      <w:sz w:val="18"/>
      <w:szCs w:val="18"/>
    </w:rPr>
  </w:style>
  <w:style w:type="paragraph" w:styleId="18">
    <w:name w:val="footer"/>
    <w:basedOn w:val="1"/>
    <w:link w:val="34"/>
    <w:autoRedefine/>
    <w:qFormat/>
    <w:uiPriority w:val="99"/>
    <w:pPr>
      <w:tabs>
        <w:tab w:val="center" w:pos="4153"/>
        <w:tab w:val="right" w:pos="8306"/>
      </w:tabs>
      <w:snapToGrid w:val="0"/>
      <w:jc w:val="left"/>
    </w:pPr>
    <w:rPr>
      <w:sz w:val="18"/>
      <w:szCs w:val="18"/>
    </w:rPr>
  </w:style>
  <w:style w:type="paragraph" w:styleId="19">
    <w:name w:val="header"/>
    <w:basedOn w:val="1"/>
    <w:autoRedefine/>
    <w:qFormat/>
    <w:uiPriority w:val="0"/>
    <w:pPr>
      <w:tabs>
        <w:tab w:val="center" w:pos="4153"/>
        <w:tab w:val="right" w:pos="8306"/>
      </w:tabs>
      <w:snapToGrid w:val="0"/>
      <w:jc w:val="center"/>
    </w:pPr>
    <w:rPr>
      <w:sz w:val="18"/>
      <w:szCs w:val="18"/>
    </w:rPr>
  </w:style>
  <w:style w:type="paragraph" w:styleId="20">
    <w:name w:val="List"/>
    <w:basedOn w:val="1"/>
    <w:autoRedefine/>
    <w:qFormat/>
    <w:uiPriority w:val="0"/>
    <w:pPr>
      <w:ind w:left="200" w:hanging="200" w:hangingChars="200"/>
    </w:pPr>
  </w:style>
  <w:style w:type="paragraph" w:styleId="21">
    <w:name w:val="Body Text 2"/>
    <w:basedOn w:val="1"/>
    <w:autoRedefine/>
    <w:qFormat/>
    <w:uiPriority w:val="0"/>
    <w:pPr>
      <w:widowControl/>
      <w:snapToGrid w:val="0"/>
      <w:spacing w:before="50" w:afterLines="50" w:line="400" w:lineRule="atLeast"/>
      <w:jc w:val="left"/>
    </w:pPr>
    <w:rPr>
      <w:rFonts w:hint="eastAsia" w:ascii="宋体" w:hAnsi="宋体"/>
      <w:color w:val="000000"/>
      <w:sz w:val="24"/>
    </w:rPr>
  </w:style>
  <w:style w:type="paragraph" w:styleId="22">
    <w:name w:val="Normal (Web)"/>
    <w:basedOn w:val="1"/>
    <w:autoRedefine/>
    <w:qFormat/>
    <w:uiPriority w:val="99"/>
    <w:pPr>
      <w:widowControl/>
      <w:spacing w:before="100" w:beforeAutospacing="1" w:after="100" w:afterAutospacing="1"/>
      <w:ind w:firstLine="420"/>
      <w:jc w:val="left"/>
    </w:pPr>
    <w:rPr>
      <w:rFonts w:ascii="宋体" w:hAnsi="宋体"/>
      <w:kern w:val="0"/>
      <w:sz w:val="20"/>
      <w:szCs w:val="20"/>
    </w:rPr>
  </w:style>
  <w:style w:type="paragraph" w:styleId="23">
    <w:name w:val="annotation subject"/>
    <w:basedOn w:val="9"/>
    <w:next w:val="9"/>
    <w:link w:val="52"/>
    <w:autoRedefine/>
    <w:unhideWhenUsed/>
    <w:qFormat/>
    <w:uiPriority w:val="99"/>
    <w:rPr>
      <w:b/>
      <w:bCs/>
    </w:rPr>
  </w:style>
  <w:style w:type="table" w:styleId="25">
    <w:name w:val="Table Grid"/>
    <w:basedOn w:val="24"/>
    <w:autoRedefine/>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7">
    <w:name w:val="Strong"/>
    <w:autoRedefine/>
    <w:qFormat/>
    <w:uiPriority w:val="0"/>
    <w:rPr>
      <w:b/>
      <w:bCs/>
    </w:rPr>
  </w:style>
  <w:style w:type="character" w:styleId="28">
    <w:name w:val="page number"/>
    <w:basedOn w:val="26"/>
    <w:autoRedefine/>
    <w:qFormat/>
    <w:uiPriority w:val="0"/>
  </w:style>
  <w:style w:type="character" w:styleId="29">
    <w:name w:val="Hyperlink"/>
    <w:autoRedefine/>
    <w:qFormat/>
    <w:uiPriority w:val="0"/>
    <w:rPr>
      <w:color w:val="0000FF"/>
      <w:u w:val="single"/>
    </w:rPr>
  </w:style>
  <w:style w:type="character" w:styleId="30">
    <w:name w:val="annotation reference"/>
    <w:autoRedefine/>
    <w:unhideWhenUsed/>
    <w:qFormat/>
    <w:uiPriority w:val="99"/>
    <w:rPr>
      <w:sz w:val="21"/>
      <w:szCs w:val="21"/>
    </w:rPr>
  </w:style>
  <w:style w:type="paragraph" w:customStyle="1" w:styleId="31">
    <w:name w:val="_Style 1"/>
    <w:autoRedefine/>
    <w:qFormat/>
    <w:uiPriority w:val="0"/>
    <w:rPr>
      <w:rFonts w:ascii="Calibri" w:hAnsi="Calibri" w:eastAsia="宋体" w:cs="Times New Roman"/>
      <w:kern w:val="2"/>
      <w:sz w:val="28"/>
      <w:szCs w:val="22"/>
      <w:lang w:val="en-US" w:eastAsia="zh-CN" w:bidi="ar-SA"/>
    </w:rPr>
  </w:style>
  <w:style w:type="paragraph" w:customStyle="1" w:styleId="32">
    <w:name w:val="Default"/>
    <w:next w:val="33"/>
    <w:autoRedefine/>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paragraph" w:customStyle="1" w:styleId="33">
    <w:name w:val="目录 71"/>
    <w:next w:val="1"/>
    <w:autoRedefine/>
    <w:qFormat/>
    <w:uiPriority w:val="0"/>
    <w:pPr>
      <w:wordWrap w:val="0"/>
      <w:ind w:left="2550"/>
      <w:jc w:val="both"/>
    </w:pPr>
    <w:rPr>
      <w:rFonts w:ascii="微软雅黑" w:hAnsi="微软雅黑" w:eastAsia="微软雅黑" w:cs="微软雅黑"/>
      <w:sz w:val="21"/>
      <w:lang w:val="en-US" w:eastAsia="zh-CN" w:bidi="ar-SA"/>
    </w:rPr>
  </w:style>
  <w:style w:type="character" w:customStyle="1" w:styleId="34">
    <w:name w:val="页脚 Char"/>
    <w:link w:val="18"/>
    <w:autoRedefine/>
    <w:qFormat/>
    <w:uiPriority w:val="99"/>
    <w:rPr>
      <w:kern w:val="2"/>
      <w:sz w:val="18"/>
      <w:szCs w:val="18"/>
    </w:rPr>
  </w:style>
  <w:style w:type="character" w:customStyle="1" w:styleId="35">
    <w:name w:val="批注文字 Char"/>
    <w:link w:val="9"/>
    <w:autoRedefine/>
    <w:qFormat/>
    <w:uiPriority w:val="99"/>
    <w:rPr>
      <w:kern w:val="2"/>
      <w:sz w:val="28"/>
      <w:szCs w:val="24"/>
    </w:rPr>
  </w:style>
  <w:style w:type="character" w:customStyle="1" w:styleId="36">
    <w:name w:val="纯文本 Char1"/>
    <w:autoRedefine/>
    <w:qFormat/>
    <w:uiPriority w:val="0"/>
    <w:rPr>
      <w:rFonts w:ascii="宋体" w:hAnsi="Courier New"/>
      <w:kern w:val="2"/>
      <w:sz w:val="21"/>
    </w:rPr>
  </w:style>
  <w:style w:type="character" w:customStyle="1" w:styleId="37">
    <w:name w:val="纯文本 Char"/>
    <w:autoRedefine/>
    <w:qFormat/>
    <w:uiPriority w:val="99"/>
    <w:rPr>
      <w:rFonts w:ascii="宋体" w:hAnsi="Courier New"/>
      <w:kern w:val="2"/>
      <w:sz w:val="24"/>
      <w:szCs w:val="24"/>
    </w:rPr>
  </w:style>
  <w:style w:type="character" w:customStyle="1" w:styleId="38">
    <w:name w:val="maywed421"/>
    <w:autoRedefine/>
    <w:qFormat/>
    <w:uiPriority w:val="0"/>
    <w:rPr>
      <w:color w:val="366FB6"/>
      <w:u w:val="none"/>
    </w:rPr>
  </w:style>
  <w:style w:type="character" w:customStyle="1" w:styleId="39">
    <w:name w:val="标题 1 Char Char"/>
    <w:autoRedefine/>
    <w:qFormat/>
    <w:uiPriority w:val="0"/>
    <w:rPr>
      <w:rFonts w:eastAsia="宋体"/>
      <w:b/>
      <w:spacing w:val="-2"/>
      <w:sz w:val="24"/>
      <w:lang w:val="en-US" w:eastAsia="zh-CN" w:bidi="ar-SA"/>
    </w:rPr>
  </w:style>
  <w:style w:type="character" w:customStyle="1" w:styleId="40">
    <w:name w:val="纯文本 Char2"/>
    <w:link w:val="15"/>
    <w:autoRedefine/>
    <w:qFormat/>
    <w:uiPriority w:val="0"/>
    <w:rPr>
      <w:rFonts w:ascii="宋体" w:hAnsi="Courier New"/>
      <w:kern w:val="2"/>
      <w:sz w:val="24"/>
      <w:szCs w:val="24"/>
    </w:rPr>
  </w:style>
  <w:style w:type="character" w:customStyle="1" w:styleId="41">
    <w:name w:val="正文文本缩进 字符1"/>
    <w:autoRedefine/>
    <w:qFormat/>
    <w:uiPriority w:val="0"/>
    <w:rPr>
      <w:rFonts w:ascii="宋体" w:hAnsi="Courier New"/>
      <w:spacing w:val="-4"/>
      <w:kern w:val="2"/>
      <w:sz w:val="18"/>
    </w:rPr>
  </w:style>
  <w:style w:type="character" w:customStyle="1" w:styleId="42">
    <w:name w:val="标题 2 Char"/>
    <w:link w:val="3"/>
    <w:autoRedefine/>
    <w:semiHidden/>
    <w:qFormat/>
    <w:uiPriority w:val="9"/>
    <w:rPr>
      <w:rFonts w:ascii="Cambria" w:hAnsi="Cambria" w:eastAsia="宋体" w:cs="Times New Roman"/>
      <w:b/>
      <w:bCs/>
      <w:kern w:val="2"/>
      <w:sz w:val="32"/>
      <w:szCs w:val="32"/>
    </w:rPr>
  </w:style>
  <w:style w:type="character" w:customStyle="1" w:styleId="43">
    <w:name w:val="正文缩进 Char"/>
    <w:link w:val="6"/>
    <w:autoRedefine/>
    <w:qFormat/>
    <w:uiPriority w:val="0"/>
    <w:rPr>
      <w:rFonts w:eastAsia="宋体"/>
      <w:kern w:val="2"/>
      <w:sz w:val="21"/>
      <w:lang w:val="en-US" w:eastAsia="zh-CN" w:bidi="ar-SA"/>
    </w:rPr>
  </w:style>
  <w:style w:type="character" w:customStyle="1" w:styleId="44">
    <w:name w:val="black601"/>
    <w:autoRedefine/>
    <w:qFormat/>
    <w:uiPriority w:val="0"/>
    <w:rPr>
      <w:color w:val="666666"/>
    </w:rPr>
  </w:style>
  <w:style w:type="character" w:customStyle="1" w:styleId="45">
    <w:name w:val="访问过的超链接1"/>
    <w:autoRedefine/>
    <w:unhideWhenUsed/>
    <w:qFormat/>
    <w:uiPriority w:val="99"/>
    <w:rPr>
      <w:color w:val="800080"/>
      <w:u w:val="single"/>
    </w:rPr>
  </w:style>
  <w:style w:type="character" w:customStyle="1" w:styleId="46">
    <w:name w:val="正文文本缩进 字符"/>
    <w:autoRedefine/>
    <w:qFormat/>
    <w:uiPriority w:val="0"/>
    <w:rPr>
      <w:rFonts w:ascii="宋体" w:hAnsi="Courier New"/>
      <w:spacing w:val="-4"/>
      <w:kern w:val="2"/>
      <w:sz w:val="18"/>
    </w:rPr>
  </w:style>
  <w:style w:type="character" w:customStyle="1" w:styleId="47">
    <w:name w:val="z-窗体顶端 Char"/>
    <w:link w:val="48"/>
    <w:autoRedefine/>
    <w:semiHidden/>
    <w:qFormat/>
    <w:uiPriority w:val="99"/>
    <w:rPr>
      <w:rFonts w:ascii="Arial" w:hAnsi="Arial"/>
      <w:vanish/>
      <w:sz w:val="16"/>
      <w:szCs w:val="16"/>
    </w:rPr>
  </w:style>
  <w:style w:type="paragraph" w:customStyle="1" w:styleId="48">
    <w:name w:val="z-窗体顶端1"/>
    <w:basedOn w:val="1"/>
    <w:next w:val="1"/>
    <w:link w:val="47"/>
    <w:autoRedefine/>
    <w:unhideWhenUsed/>
    <w:qFormat/>
    <w:uiPriority w:val="99"/>
    <w:pPr>
      <w:widowControl/>
      <w:pBdr>
        <w:bottom w:val="single" w:color="auto" w:sz="6" w:space="1"/>
      </w:pBdr>
      <w:jc w:val="center"/>
    </w:pPr>
    <w:rPr>
      <w:rFonts w:ascii="Arial" w:hAnsi="Arial"/>
      <w:vanish/>
      <w:kern w:val="0"/>
      <w:sz w:val="16"/>
      <w:szCs w:val="16"/>
    </w:rPr>
  </w:style>
  <w:style w:type="character" w:customStyle="1" w:styleId="49">
    <w:name w:val="sub_title s0"/>
    <w:basedOn w:val="26"/>
    <w:autoRedefine/>
    <w:qFormat/>
    <w:uiPriority w:val="0"/>
  </w:style>
  <w:style w:type="character" w:customStyle="1" w:styleId="50">
    <w:name w:val="z-窗体底端 Char"/>
    <w:link w:val="51"/>
    <w:autoRedefine/>
    <w:semiHidden/>
    <w:qFormat/>
    <w:uiPriority w:val="99"/>
    <w:rPr>
      <w:rFonts w:ascii="Arial" w:hAnsi="Arial"/>
      <w:vanish/>
      <w:sz w:val="16"/>
      <w:szCs w:val="16"/>
    </w:rPr>
  </w:style>
  <w:style w:type="paragraph" w:customStyle="1" w:styleId="51">
    <w:name w:val="z-窗体底端1"/>
    <w:basedOn w:val="1"/>
    <w:next w:val="1"/>
    <w:link w:val="50"/>
    <w:autoRedefine/>
    <w:unhideWhenUsed/>
    <w:qFormat/>
    <w:uiPriority w:val="99"/>
    <w:pPr>
      <w:widowControl/>
      <w:pBdr>
        <w:top w:val="single" w:color="auto" w:sz="6" w:space="1"/>
      </w:pBdr>
      <w:jc w:val="center"/>
    </w:pPr>
    <w:rPr>
      <w:rFonts w:ascii="Arial" w:hAnsi="Arial"/>
      <w:vanish/>
      <w:kern w:val="0"/>
      <w:sz w:val="16"/>
      <w:szCs w:val="16"/>
    </w:rPr>
  </w:style>
  <w:style w:type="character" w:customStyle="1" w:styleId="52">
    <w:name w:val="批注主题 Char"/>
    <w:link w:val="23"/>
    <w:autoRedefine/>
    <w:semiHidden/>
    <w:qFormat/>
    <w:uiPriority w:val="99"/>
    <w:rPr>
      <w:b/>
      <w:bCs/>
      <w:kern w:val="2"/>
      <w:sz w:val="28"/>
      <w:szCs w:val="24"/>
    </w:rPr>
  </w:style>
  <w:style w:type="character" w:customStyle="1" w:styleId="53">
    <w:name w:val="标题 3 Char"/>
    <w:link w:val="4"/>
    <w:autoRedefine/>
    <w:semiHidden/>
    <w:qFormat/>
    <w:uiPriority w:val="9"/>
    <w:rPr>
      <w:b/>
      <w:bCs/>
      <w:kern w:val="2"/>
      <w:sz w:val="32"/>
      <w:szCs w:val="32"/>
    </w:rPr>
  </w:style>
  <w:style w:type="character" w:customStyle="1" w:styleId="54">
    <w:name w:val="正文文本缩进 Char"/>
    <w:link w:val="11"/>
    <w:autoRedefine/>
    <w:qFormat/>
    <w:uiPriority w:val="0"/>
    <w:rPr>
      <w:rFonts w:ascii="宋体" w:hAnsi="Courier New"/>
      <w:spacing w:val="-4"/>
      <w:kern w:val="2"/>
      <w:sz w:val="18"/>
    </w:rPr>
  </w:style>
  <w:style w:type="character" w:customStyle="1" w:styleId="55">
    <w:name w:val="标题 1 Char"/>
    <w:link w:val="2"/>
    <w:autoRedefine/>
    <w:qFormat/>
    <w:uiPriority w:val="9"/>
    <w:rPr>
      <w:b/>
      <w:bCs/>
      <w:kern w:val="44"/>
      <w:sz w:val="44"/>
      <w:szCs w:val="44"/>
    </w:rPr>
  </w:style>
  <w:style w:type="paragraph" w:customStyle="1" w:styleId="56">
    <w:name w:val="表内文字"/>
    <w:basedOn w:val="1"/>
    <w:autoRedefine/>
    <w:qFormat/>
    <w:uiPriority w:val="0"/>
    <w:pPr>
      <w:tabs>
        <w:tab w:val="left" w:pos="1418"/>
      </w:tabs>
      <w:spacing w:line="360" w:lineRule="auto"/>
      <w:jc w:val="center"/>
    </w:pPr>
    <w:rPr>
      <w:rFonts w:hint="eastAsia" w:ascii="仿宋_GB2312" w:eastAsia="仿宋_GB2312"/>
      <w:spacing w:val="-20"/>
      <w:kern w:val="0"/>
      <w:sz w:val="24"/>
    </w:rPr>
  </w:style>
  <w:style w:type="paragraph" w:customStyle="1" w:styleId="57">
    <w:name w:val="无间距"/>
    <w:autoRedefine/>
    <w:qFormat/>
    <w:uiPriority w:val="0"/>
    <w:pPr>
      <w:widowControl w:val="0"/>
      <w:jc w:val="both"/>
    </w:pPr>
    <w:rPr>
      <w:rFonts w:ascii="Calibri" w:hAnsi="Calibri" w:eastAsia="宋体" w:cs="Times New Roman"/>
      <w:kern w:val="2"/>
      <w:sz w:val="21"/>
      <w:szCs w:val="22"/>
      <w:lang w:val="en-US" w:eastAsia="zh-CN" w:bidi="ar-SA"/>
    </w:rPr>
  </w:style>
  <w:style w:type="paragraph" w:customStyle="1" w:styleId="58">
    <w:name w:val="正文段"/>
    <w:basedOn w:val="1"/>
    <w:autoRedefine/>
    <w:qFormat/>
    <w:uiPriority w:val="0"/>
    <w:pPr>
      <w:widowControl/>
      <w:snapToGrid w:val="0"/>
      <w:spacing w:afterLines="50"/>
      <w:ind w:firstLine="200" w:firstLineChars="200"/>
    </w:pPr>
    <w:rPr>
      <w:kern w:val="0"/>
      <w:sz w:val="24"/>
      <w:szCs w:val="20"/>
    </w:rPr>
  </w:style>
  <w:style w:type="paragraph" w:customStyle="1" w:styleId="59">
    <w:name w:val="彩色列表 - 强调文字颜色 11"/>
    <w:basedOn w:val="1"/>
    <w:autoRedefine/>
    <w:qFormat/>
    <w:uiPriority w:val="34"/>
    <w:pPr>
      <w:ind w:firstLine="420" w:firstLineChars="200"/>
    </w:pPr>
    <w:rPr>
      <w:rFonts w:ascii="Calibri" w:hAnsi="Calibri"/>
      <w:sz w:val="21"/>
      <w:szCs w:val="22"/>
    </w:rPr>
  </w:style>
  <w:style w:type="paragraph" w:customStyle="1" w:styleId="60">
    <w:name w:val="List Paragraph1"/>
    <w:basedOn w:val="1"/>
    <w:autoRedefine/>
    <w:qFormat/>
    <w:uiPriority w:val="0"/>
    <w:pPr>
      <w:ind w:firstLine="420" w:firstLineChars="200"/>
    </w:pPr>
    <w:rPr>
      <w:sz w:val="21"/>
    </w:rPr>
  </w:style>
  <w:style w:type="paragraph" w:customStyle="1" w:styleId="61">
    <w:name w:val="Proposals body"/>
    <w:basedOn w:val="1"/>
    <w:next w:val="1"/>
    <w:autoRedefine/>
    <w:qFormat/>
    <w:uiPriority w:val="0"/>
    <w:pPr>
      <w:widowControl/>
      <w:spacing w:line="460" w:lineRule="exact"/>
      <w:jc w:val="left"/>
    </w:pPr>
    <w:rPr>
      <w:rFonts w:ascii="仿宋_GB2312" w:eastAsia="仿宋_GB2312"/>
      <w:snapToGrid w:val="0"/>
      <w:kern w:val="0"/>
      <w:sz w:val="24"/>
    </w:rPr>
  </w:style>
  <w:style w:type="paragraph" w:customStyle="1" w:styleId="62">
    <w:name w:val="Char Char Char Char1"/>
    <w:basedOn w:val="1"/>
    <w:autoRedefine/>
    <w:qFormat/>
    <w:uiPriority w:val="0"/>
    <w:rPr>
      <w:rFonts w:ascii="Tahoma" w:hAnsi="Tahoma"/>
      <w:sz w:val="24"/>
      <w:szCs w:val="20"/>
    </w:rPr>
  </w:style>
  <w:style w:type="paragraph" w:customStyle="1" w:styleId="63">
    <w:name w:val="正文 A"/>
    <w:autoRedefine/>
    <w:qFormat/>
    <w:uiPriority w:val="0"/>
    <w:pPr>
      <w:widowControl w:val="0"/>
      <w:jc w:val="both"/>
    </w:pPr>
    <w:rPr>
      <w:rFonts w:hint="eastAsia" w:ascii="Arial Unicode MS" w:hAnsi="Arial Unicode MS" w:eastAsia="Times New Roman" w:cs="Arial Unicode MS"/>
      <w:color w:val="000000"/>
      <w:kern w:val="2"/>
      <w:sz w:val="28"/>
      <w:szCs w:val="28"/>
      <w:u w:color="000000"/>
      <w:lang w:val="en-US" w:eastAsia="zh-CN" w:bidi="ar-SA"/>
    </w:rPr>
  </w:style>
  <w:style w:type="paragraph" w:customStyle="1" w:styleId="64">
    <w:name w:val="Char Char Char Char"/>
    <w:basedOn w:val="1"/>
    <w:autoRedefine/>
    <w:qFormat/>
    <w:uiPriority w:val="0"/>
    <w:pPr>
      <w:widowControl/>
      <w:spacing w:after="160" w:line="240" w:lineRule="exact"/>
      <w:jc w:val="left"/>
    </w:pPr>
    <w:rPr>
      <w:rFonts w:ascii="Verdana" w:hAnsi="Verdana"/>
      <w:kern w:val="0"/>
      <w:sz w:val="20"/>
      <w:szCs w:val="20"/>
      <w:lang w:eastAsia="en-US"/>
    </w:rPr>
  </w:style>
  <w:style w:type="paragraph" w:customStyle="1" w:styleId="65">
    <w:name w:val="默认段落字体 Para Char Char Char Char Char Char Char Char Char1 Char Char Char Char"/>
    <w:basedOn w:val="1"/>
    <w:autoRedefine/>
    <w:qFormat/>
    <w:uiPriority w:val="0"/>
    <w:rPr>
      <w:rFonts w:ascii="Tahoma" w:hAnsi="Tahoma"/>
      <w:sz w:val="24"/>
      <w:szCs w:val="20"/>
    </w:rPr>
  </w:style>
  <w:style w:type="paragraph" w:customStyle="1" w:styleId="66">
    <w:name w:val="xl25"/>
    <w:basedOn w:val="1"/>
    <w:autoRedefine/>
    <w:qFormat/>
    <w:uiPriority w:val="0"/>
    <w:pPr>
      <w:widowControl/>
      <w:spacing w:before="100" w:beforeAutospacing="1" w:after="100" w:afterAutospacing="1"/>
      <w:jc w:val="center"/>
      <w:textAlignment w:val="center"/>
    </w:pPr>
    <w:rPr>
      <w:rFonts w:hint="eastAsia" w:ascii="楷体_GB2312" w:hAnsi="宋体" w:eastAsia="楷体_GB2312"/>
      <w:kern w:val="0"/>
      <w:sz w:val="24"/>
    </w:rPr>
  </w:style>
  <w:style w:type="paragraph" w:customStyle="1" w:styleId="67">
    <w:name w:val="正文1"/>
    <w:autoRedefine/>
    <w:qFormat/>
    <w:uiPriority w:val="0"/>
    <w:pPr>
      <w:suppressAutoHyphens/>
      <w:spacing w:after="180" w:line="312" w:lineRule="auto"/>
    </w:pPr>
    <w:rPr>
      <w:rFonts w:ascii="Helvetica Neue Light" w:hAnsi="Helvetica Neue Light" w:eastAsia="ヒラギノ角ゴ Pro W3" w:cs="Times New Roman"/>
      <w:color w:val="000000"/>
      <w:sz w:val="18"/>
      <w:lang w:val="en-US" w:eastAsia="zh-CN" w:bidi="ar-SA"/>
    </w:rPr>
  </w:style>
  <w:style w:type="character" w:customStyle="1" w:styleId="68">
    <w:name w:val="批注文字 Char1"/>
    <w:autoRedefine/>
    <w:semiHidden/>
    <w:qFormat/>
    <w:locked/>
    <w:uiPriority w:val="99"/>
    <w:rPr>
      <w:kern w:val="2"/>
      <w:sz w:val="28"/>
      <w:szCs w:val="24"/>
    </w:rPr>
  </w:style>
  <w:style w:type="character" w:customStyle="1" w:styleId="69">
    <w:name w:val="文档结构图 Char"/>
    <w:basedOn w:val="26"/>
    <w:link w:val="8"/>
    <w:autoRedefine/>
    <w:semiHidden/>
    <w:qFormat/>
    <w:uiPriority w:val="99"/>
    <w:rPr>
      <w:rFonts w:ascii="宋体"/>
      <w:kern w:val="2"/>
      <w:sz w:val="18"/>
      <w:szCs w:val="18"/>
    </w:rPr>
  </w:style>
  <w:style w:type="paragraph" w:styleId="70">
    <w:name w:val="List Paragraph"/>
    <w:basedOn w:val="1"/>
    <w:autoRedefine/>
    <w:qFormat/>
    <w:uiPriority w:val="34"/>
    <w:pPr>
      <w:ind w:firstLine="420" w:firstLineChars="200"/>
    </w:pPr>
  </w:style>
  <w:style w:type="character" w:customStyle="1" w:styleId="71">
    <w:name w:val="未处理的提及1"/>
    <w:basedOn w:val="26"/>
    <w:autoRedefine/>
    <w:semiHidden/>
    <w:unhideWhenUsed/>
    <w:qFormat/>
    <w:uiPriority w:val="99"/>
    <w:rPr>
      <w:color w:val="605E5C"/>
      <w:shd w:val="clear" w:color="auto" w:fill="E1DFDD"/>
    </w:rPr>
  </w:style>
  <w:style w:type="character" w:customStyle="1" w:styleId="72">
    <w:name w:val="未处理的提及2"/>
    <w:basedOn w:val="26"/>
    <w:autoRedefine/>
    <w:semiHidden/>
    <w:unhideWhenUsed/>
    <w:qFormat/>
    <w:uiPriority w:val="99"/>
    <w:rPr>
      <w:color w:val="605E5C"/>
      <w:shd w:val="clear" w:color="auto" w:fill="E1DFDD"/>
    </w:rPr>
  </w:style>
  <w:style w:type="character" w:customStyle="1" w:styleId="73">
    <w:name w:val="未处理的提及3"/>
    <w:basedOn w:val="26"/>
    <w:autoRedefine/>
    <w:semiHidden/>
    <w:unhideWhenUsed/>
    <w:qFormat/>
    <w:uiPriority w:val="99"/>
    <w:rPr>
      <w:color w:val="605E5C"/>
      <w:shd w:val="clear" w:color="auto" w:fill="E1DFDD"/>
    </w:rPr>
  </w:style>
  <w:style w:type="character" w:customStyle="1" w:styleId="74">
    <w:name w:val="Unresolved Mention"/>
    <w:basedOn w:val="26"/>
    <w:autoRedefine/>
    <w:semiHidden/>
    <w:unhideWhenUsed/>
    <w:qFormat/>
    <w:uiPriority w:val="99"/>
    <w:rPr>
      <w:color w:val="605E5C"/>
      <w:shd w:val="clear" w:color="auto" w:fill="E1DFDD"/>
    </w:rPr>
  </w:style>
  <w:style w:type="paragraph" w:customStyle="1" w:styleId="75">
    <w:name w:val="正文2"/>
    <w:basedOn w:val="1"/>
    <w:link w:val="76"/>
    <w:autoRedefine/>
    <w:qFormat/>
    <w:uiPriority w:val="0"/>
    <w:pPr>
      <w:spacing w:before="156" w:line="360" w:lineRule="auto"/>
      <w:ind w:firstLine="510" w:firstLineChars="200"/>
    </w:pPr>
    <w:rPr>
      <w:sz w:val="24"/>
      <w:szCs w:val="20"/>
    </w:rPr>
  </w:style>
  <w:style w:type="character" w:customStyle="1" w:styleId="76">
    <w:name w:val="正文2 Char Char"/>
    <w:link w:val="75"/>
    <w:autoRedefine/>
    <w:qFormat/>
    <w:uiPriority w:val="0"/>
    <w:rPr>
      <w:kern w:val="2"/>
      <w:sz w:val="24"/>
    </w:rPr>
  </w:style>
  <w:style w:type="character" w:customStyle="1" w:styleId="77">
    <w:name w:val="正文文本 Char"/>
    <w:basedOn w:val="26"/>
    <w:link w:val="10"/>
    <w:autoRedefine/>
    <w:semiHidden/>
    <w:qFormat/>
    <w:uiPriority w:val="99"/>
    <w:rPr>
      <w:kern w:val="2"/>
      <w:sz w:val="28"/>
      <w:szCs w:val="24"/>
    </w:rPr>
  </w:style>
  <w:style w:type="table" w:customStyle="1" w:styleId="78">
    <w:name w:val="网格型1"/>
    <w:basedOn w:val="24"/>
    <w:autoRedefine/>
    <w:qFormat/>
    <w:uiPriority w:val="39"/>
    <w:rPr>
      <w:rFonts w:ascii="等线" w:hAnsi="等线" w:eastAsia="等线"/>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神州网信技术有限公司</Company>
  <Pages>1</Pages>
  <Words>5632</Words>
  <Characters>32104</Characters>
  <Lines>267</Lines>
  <Paragraphs>75</Paragraphs>
  <TotalTime>2</TotalTime>
  <ScaleCrop>false</ScaleCrop>
  <LinksUpToDate>false</LinksUpToDate>
  <CharactersWithSpaces>37661</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2023-12-29T06:03:00Z</dcterms:created>
  <dc:creator>jj</dc:creator>
  <cp:lastModifiedBy>蒋晗</cp:lastModifiedBy>
  <cp:lastPrinted>2018-06-25T02:02:00Z</cp:lastPrinted>
  <dcterms:modified xsi:type="dcterms:W3CDTF">2024-01-08T09:22:50Z</dcterms:modified>
  <dc:title>求是招标代理有限公司</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4E205B4A4FDA441FB63DFAEA138E00FE_13</vt:lpwstr>
  </property>
</Properties>
</file>