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C7447C">
      <w:pPr>
        <w:pageBreakBefore w:val="0"/>
        <w:numPr>
          <w:ilvl w:val="0"/>
          <w:numId w:val="0"/>
        </w:numPr>
        <w:kinsoku/>
        <w:wordWrap/>
        <w:overflowPunct/>
        <w:topLinePunct w:val="0"/>
        <w:bidi w:val="0"/>
        <w:adjustRightInd w:val="0"/>
        <w:snapToGrid w:val="0"/>
        <w:spacing w:beforeAutospacing="0" w:afterAutospacing="0" w:line="360" w:lineRule="auto"/>
        <w:ind w:left="0" w:leftChars="0" w:right="0" w:rightChars="0"/>
        <w:outlineLvl w:val="1"/>
        <w:rPr>
          <w:rFonts w:hint="eastAsia" w:ascii="宋体" w:hAnsi="宋体" w:cs="宋体"/>
          <w:b/>
          <w:bCs/>
          <w:color w:val="auto"/>
          <w:sz w:val="24"/>
          <w:szCs w:val="24"/>
          <w:highlight w:val="none"/>
          <w:lang w:val="en-US" w:eastAsia="zh-CN" w:bidi="ar-SA"/>
        </w:rPr>
      </w:pPr>
      <w:bookmarkStart w:id="1" w:name="_GoBack"/>
      <w:bookmarkEnd w:id="1"/>
      <w:r>
        <w:rPr>
          <w:rFonts w:hint="eastAsia" w:ascii="宋体" w:hAnsi="宋体" w:cs="宋体"/>
          <w:b/>
          <w:bCs/>
          <w:color w:val="auto"/>
          <w:sz w:val="24"/>
          <w:szCs w:val="24"/>
          <w:highlight w:val="none"/>
          <w:lang w:val="en-US" w:eastAsia="zh-CN" w:bidi="ar-SA"/>
        </w:rPr>
        <w:t>一、项目概况</w:t>
      </w:r>
    </w:p>
    <w:p w14:paraId="7C6CE064">
      <w:pPr>
        <w:keepNext w:val="0"/>
        <w:keepLines w:val="0"/>
        <w:pageBreakBefore w:val="0"/>
        <w:widowControl w:val="0"/>
        <w:numPr>
          <w:ilvl w:val="0"/>
          <w:numId w:val="0"/>
        </w:numPr>
        <w:kinsoku/>
        <w:wordWrap/>
        <w:overflowPunct/>
        <w:topLinePunct w:val="0"/>
        <w:autoSpaceDE/>
        <w:autoSpaceDN/>
        <w:bidi w:val="0"/>
        <w:adjustRightInd w:val="0"/>
        <w:snapToGrid w:val="0"/>
        <w:spacing w:beforeAutospacing="0" w:afterAutospacing="0" w:line="360" w:lineRule="auto"/>
        <w:ind w:left="0" w:leftChars="0" w:right="0" w:rightChars="0"/>
        <w:textAlignment w:val="auto"/>
        <w:outlineLvl w:val="1"/>
        <w:rPr>
          <w:rFonts w:hint="eastAsia" w:ascii="宋体" w:hAnsi="宋体" w:cs="宋体"/>
          <w:b/>
          <w:bCs/>
          <w:color w:val="auto"/>
          <w:sz w:val="24"/>
          <w:szCs w:val="24"/>
          <w:highlight w:val="none"/>
          <w:lang w:val="en-US" w:eastAsia="zh-CN" w:bidi="ar-SA"/>
        </w:rPr>
      </w:pPr>
      <w:r>
        <w:rPr>
          <w:rFonts w:hint="eastAsia" w:hAnsi="宋体" w:cs="宋体"/>
          <w:b/>
          <w:bCs/>
          <w:color w:val="auto"/>
          <w:sz w:val="24"/>
          <w:szCs w:val="24"/>
          <w:highlight w:val="none"/>
          <w:lang w:val="en-US" w:eastAsia="zh-CN" w:bidi="ar-SA"/>
        </w:rPr>
        <w:t>中国大熊猫保护研究中心大熊猫基因保存库设备购置项目（包1）</w:t>
      </w:r>
    </w:p>
    <w:p w14:paraId="48A60700">
      <w:pPr>
        <w:keepNext w:val="0"/>
        <w:keepLines w:val="0"/>
        <w:pageBreakBefore w:val="0"/>
        <w:widowControl w:val="0"/>
        <w:numPr>
          <w:ilvl w:val="0"/>
          <w:numId w:val="0"/>
        </w:numPr>
        <w:kinsoku/>
        <w:wordWrap/>
        <w:overflowPunct/>
        <w:topLinePunct w:val="0"/>
        <w:autoSpaceDE/>
        <w:autoSpaceDN/>
        <w:bidi w:val="0"/>
        <w:adjustRightInd w:val="0"/>
        <w:snapToGrid w:val="0"/>
        <w:spacing w:beforeAutospacing="0" w:afterAutospacing="0" w:line="360" w:lineRule="auto"/>
        <w:ind w:left="0" w:leftChars="0" w:right="0" w:rightChars="0"/>
        <w:textAlignment w:val="auto"/>
        <w:outlineLvl w:val="1"/>
        <w:rPr>
          <w:rFonts w:hint="eastAsia" w:ascii="宋体" w:hAnsi="宋体" w:cs="宋体"/>
          <w:b/>
          <w:bCs/>
          <w:color w:val="auto"/>
          <w:sz w:val="24"/>
          <w:szCs w:val="24"/>
          <w:highlight w:val="none"/>
          <w:lang w:val="en-US" w:eastAsia="zh-CN" w:bidi="ar-SA"/>
        </w:rPr>
      </w:pPr>
      <w:r>
        <w:rPr>
          <w:rFonts w:hint="eastAsia" w:ascii="宋体" w:hAnsi="宋体" w:cs="宋体"/>
          <w:b/>
          <w:bCs/>
          <w:color w:val="auto"/>
          <w:sz w:val="24"/>
          <w:szCs w:val="24"/>
          <w:highlight w:val="none"/>
          <w:lang w:val="en-US" w:eastAsia="zh-CN" w:bidi="ar-SA"/>
        </w:rPr>
        <w:t>二、技术参数及要求</w:t>
      </w:r>
    </w:p>
    <w:tbl>
      <w:tblPr>
        <w:tblStyle w:val="3"/>
        <w:tblW w:w="9523" w:type="dxa"/>
        <w:jc w:val="center"/>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108" w:type="dxa"/>
          <w:bottom w:w="0" w:type="dxa"/>
          <w:right w:w="108" w:type="dxa"/>
        </w:tblCellMar>
      </w:tblPr>
      <w:tblGrid>
        <w:gridCol w:w="607"/>
        <w:gridCol w:w="840"/>
        <w:gridCol w:w="570"/>
        <w:gridCol w:w="1230"/>
        <w:gridCol w:w="6276"/>
      </w:tblGrid>
      <w:tr w14:paraId="0D5F8D3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bottom w:val="single" w:color="auto" w:sz="4" w:space="0"/>
              <w:right w:val="single" w:color="auto" w:sz="4" w:space="0"/>
            </w:tcBorders>
            <w:noWrap/>
            <w:vAlign w:val="center"/>
          </w:tcPr>
          <w:p w14:paraId="45C3521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840" w:type="dxa"/>
            <w:tcBorders>
              <w:left w:val="nil"/>
              <w:bottom w:val="single" w:color="auto" w:sz="4" w:space="0"/>
              <w:right w:val="single" w:color="auto" w:sz="4" w:space="0"/>
            </w:tcBorders>
            <w:noWrap/>
            <w:vAlign w:val="center"/>
          </w:tcPr>
          <w:p w14:paraId="3730164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设备名称</w:t>
            </w:r>
          </w:p>
        </w:tc>
        <w:tc>
          <w:tcPr>
            <w:tcW w:w="570" w:type="dxa"/>
            <w:tcBorders>
              <w:left w:val="nil"/>
              <w:bottom w:val="single" w:color="auto" w:sz="4" w:space="0"/>
              <w:right w:val="single" w:color="auto" w:sz="4" w:space="0"/>
            </w:tcBorders>
            <w:noWrap/>
            <w:vAlign w:val="center"/>
          </w:tcPr>
          <w:p w14:paraId="22B9E03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数量</w:t>
            </w:r>
          </w:p>
        </w:tc>
        <w:tc>
          <w:tcPr>
            <w:tcW w:w="1230" w:type="dxa"/>
            <w:tcBorders>
              <w:left w:val="nil"/>
              <w:bottom w:val="single" w:color="auto" w:sz="4" w:space="0"/>
              <w:right w:val="single" w:color="auto" w:sz="4" w:space="0"/>
            </w:tcBorders>
            <w:noWrap w:val="0"/>
            <w:vAlign w:val="center"/>
          </w:tcPr>
          <w:p w14:paraId="5A4FA29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单价限价（万元）</w:t>
            </w:r>
          </w:p>
        </w:tc>
        <w:tc>
          <w:tcPr>
            <w:tcW w:w="6276" w:type="dxa"/>
            <w:tcBorders>
              <w:left w:val="nil"/>
              <w:bottom w:val="single" w:color="auto" w:sz="4" w:space="0"/>
            </w:tcBorders>
            <w:noWrap w:val="0"/>
            <w:vAlign w:val="top"/>
          </w:tcPr>
          <w:p w14:paraId="1E7E7C9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参数要求</w:t>
            </w:r>
          </w:p>
        </w:tc>
      </w:tr>
      <w:tr w14:paraId="7A9CB19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4769C87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840" w:type="dxa"/>
            <w:tcBorders>
              <w:top w:val="nil"/>
              <w:left w:val="nil"/>
              <w:bottom w:val="single" w:color="auto" w:sz="4" w:space="0"/>
              <w:right w:val="single" w:color="auto" w:sz="4" w:space="0"/>
            </w:tcBorders>
            <w:noWrap w:val="0"/>
            <w:vAlign w:val="center"/>
          </w:tcPr>
          <w:p w14:paraId="50003E8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全自动液相液氮存储系统</w:t>
            </w:r>
          </w:p>
        </w:tc>
        <w:tc>
          <w:tcPr>
            <w:tcW w:w="570" w:type="dxa"/>
            <w:tcBorders>
              <w:top w:val="nil"/>
              <w:left w:val="nil"/>
              <w:bottom w:val="single" w:color="auto" w:sz="4" w:space="0"/>
              <w:right w:val="single" w:color="auto" w:sz="4" w:space="0"/>
            </w:tcBorders>
            <w:noWrap/>
            <w:vAlign w:val="center"/>
          </w:tcPr>
          <w:p w14:paraId="345BB5E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79D4B6A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185.25 </w:t>
            </w:r>
          </w:p>
        </w:tc>
        <w:tc>
          <w:tcPr>
            <w:tcW w:w="6276" w:type="dxa"/>
            <w:tcBorders>
              <w:top w:val="single" w:color="auto" w:sz="4" w:space="0"/>
              <w:left w:val="nil"/>
              <w:bottom w:val="single" w:color="auto" w:sz="4" w:space="0"/>
            </w:tcBorders>
            <w:noWrap w:val="0"/>
            <w:vAlign w:val="top"/>
          </w:tcPr>
          <w:p w14:paraId="6E6B768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1.设备外部尺寸：长2m×宽1.5m×高2.5m（±0.5m） </w:t>
            </w:r>
          </w:p>
          <w:p w14:paraId="00CC971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★2.设备存储量：≥10 万根（以冻存盒，0.25ml 工作体积麦管计，麦管套带盖总高≥135mm）；</w:t>
            </w:r>
            <w:r>
              <w:rPr>
                <w:rFonts w:hint="eastAsia" w:ascii="宋体" w:hAnsi="宋体" w:eastAsia="宋体" w:cs="宋体"/>
                <w:b w:val="0"/>
                <w:bCs w:val="0"/>
                <w:color w:val="auto"/>
                <w:sz w:val="24"/>
                <w:szCs w:val="24"/>
                <w:highlight w:val="none"/>
              </w:rPr>
              <w:t>配置</w:t>
            </w:r>
            <w:r>
              <w:rPr>
                <w:rFonts w:hint="eastAsia" w:ascii="宋体" w:hAnsi="宋体" w:eastAsia="宋体" w:cs="宋体"/>
                <w:b w:val="0"/>
                <w:bCs w:val="0"/>
                <w:color w:val="auto"/>
                <w:sz w:val="24"/>
                <w:szCs w:val="24"/>
                <w:highlight w:val="none"/>
                <w:lang w:val="en-US" w:eastAsia="zh-CN"/>
              </w:rPr>
              <w:t>配套</w:t>
            </w:r>
            <w:r>
              <w:rPr>
                <w:rFonts w:hint="eastAsia" w:ascii="宋体" w:hAnsi="宋体" w:eastAsia="宋体" w:cs="宋体"/>
                <w:b w:val="0"/>
                <w:bCs w:val="0"/>
                <w:color w:val="auto"/>
                <w:sz w:val="24"/>
                <w:szCs w:val="24"/>
                <w:highlight w:val="none"/>
              </w:rPr>
              <w:t>冻存盒和麦管套管分别不少于20个和200个。</w:t>
            </w:r>
          </w:p>
          <w:p w14:paraId="6AFA43A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▲3.存储罐蒸发平台下的液氮容量：≥140L，液氮静态蒸发量：≤16L/天，液氮断供后，罐内-130°C 以下环境的静态维持时间≥10 天。 </w:t>
            </w:r>
          </w:p>
          <w:p w14:paraId="616BB57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4.真空罐体容积≥1000L，罐口除外所有罐体均有真空覆盖，罐口面积≤罐体横截面积的25%。 </w:t>
            </w:r>
          </w:p>
          <w:p w14:paraId="04ADA63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5.在未进行存取操作的日常静态状态下，存储区温度≤-180℃，挑管区温度≤-180℃。                       6.麦管在存储区内以麦管套管方式进行存储，存储环境为液相液氮环境。 </w:t>
            </w:r>
          </w:p>
          <w:p w14:paraId="0D0034B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7.采用设备中液氮罐罐体内部直接挑管模式来实现样本自动存取，挑管空间温度≤-180℃。 </w:t>
            </w:r>
          </w:p>
          <w:p w14:paraId="58AB3CC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8.罐内挑管平台与存储罐共用罐内底部液氮，样本挑管操作前无需消耗额外的时间和液氮对挑管机构或挑管区进行预冷，以节省液氮消耗及提高工作效率。（</w:t>
            </w:r>
            <w:r>
              <w:rPr>
                <w:rFonts w:hint="eastAsia" w:ascii="宋体" w:hAnsi="宋体" w:eastAsia="宋体" w:cs="宋体"/>
                <w:b/>
                <w:bCs/>
                <w:color w:val="auto"/>
                <w:sz w:val="24"/>
                <w:szCs w:val="24"/>
                <w:highlight w:val="none"/>
              </w:rPr>
              <w:t>提供设备结构图作为证明材料。</w:t>
            </w: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rPr>
              <w:t xml:space="preserve"> </w:t>
            </w:r>
          </w:p>
          <w:p w14:paraId="46B3801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9.挑管平台具有固定机构，确保挑管过程中，麦管管套不会上下移动或打翻。 </w:t>
            </w:r>
          </w:p>
          <w:p w14:paraId="70004CF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10.挑管机械臂采用多轴机械手，在重复场景下增加挑管精度和稳定性。 </w:t>
            </w:r>
          </w:p>
          <w:p w14:paraId="3632C65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11.抓盒机械臂采用多轴机械手，在重复场景下增加取盒精度和稳定性。 </w:t>
            </w:r>
          </w:p>
          <w:p w14:paraId="43C2977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12.存储系统充液至高液位，即使再无额外液氮供应，7天内挑管空间温度仍可持续维持-180</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 xml:space="preserve">以下，可随时开盖进行样本安全挑取。 </w:t>
            </w:r>
          </w:p>
          <w:p w14:paraId="2EB488D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13.挑管区域有足够的安全措施，保证挑管过程即使发生掉管等意外情况，麦管套及麦管不会落入罐体底部。 </w:t>
            </w:r>
          </w:p>
          <w:p w14:paraId="6A99042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★14.标配可自由进出存储系统的液氮转运桶，样品出入系统均置于转运桶中，转运桶为液相液氮环境。转运桶液相使用时，外部没有结霜情况出现。 </w:t>
            </w:r>
          </w:p>
          <w:p w14:paraId="3D6F906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▲15.样本存储单元为冻存盒，应急状态或自然灾害状态下，无需其他专用设备，可手动取出并转移到备份液氮罐中，以保证样本安全。 </w:t>
            </w:r>
          </w:p>
          <w:p w14:paraId="336A48A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16.操作系统具有完备的样本位置管理功能，定位出入库功能，样本位置追踪审计功能；可与客户端样本信息管理系统对接，实现远程联动的样本自动化出入库管理。 </w:t>
            </w:r>
          </w:p>
          <w:p w14:paraId="520E1CD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17.为保障样本实物出入库信息准确，系统集成整板二维码扫描仪及条码扫描仪，每一次冻存管及冻存盒进入系统均进行扫码复核与校对。 </w:t>
            </w:r>
          </w:p>
          <w:p w14:paraId="4E7BA10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18.样本夹爪需具备力学反馈系统，在挑管过程中防止掉管。 </w:t>
            </w:r>
          </w:p>
          <w:p w14:paraId="0C7386C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19.标配视觉系统，对挑管平台冻存盒及麦管套进行精确定位；在每一只麦管套挑取前后实时抓拍并进行图像对比，确保及时发现掉管错误。 </w:t>
            </w:r>
          </w:p>
          <w:p w14:paraId="2CA304E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20.发现掉管错误后，及时发出报警，并在设备屏幕显示掉管位置。 </w:t>
            </w:r>
          </w:p>
          <w:p w14:paraId="777AB13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21.系统的上腔体为密封结构，避免水汽进入导致罐口和机械部件结水结冰。 </w:t>
            </w:r>
          </w:p>
          <w:p w14:paraId="2678862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22.系统的上腔体湿度可监控，当湿度高于设定值时，启动自动除湿功能；同时也具有手动除湿功能。 </w:t>
            </w:r>
          </w:p>
          <w:p w14:paraId="0359AB7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23.系统的上腔体具有泄压功能，保持系统内压力值≤ 50Pa。 </w:t>
            </w:r>
          </w:p>
          <w:p w14:paraId="6573C6B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24.系统应具备预约取管功能，提前将取管任务单中的样本管取完后收集于单个或多个冻存盒中并暂存于液氮罐内，</w:t>
            </w:r>
            <w:r>
              <w:rPr>
                <w:rFonts w:hint="eastAsia" w:ascii="宋体" w:hAnsi="宋体" w:eastAsia="宋体" w:cs="宋体"/>
                <w:color w:val="auto"/>
                <w:sz w:val="24"/>
                <w:szCs w:val="24"/>
                <w:highlight w:val="none"/>
                <w:lang w:val="en-US" w:eastAsia="zh-CN"/>
              </w:rPr>
              <w:t>使用人员</w:t>
            </w:r>
            <w:r>
              <w:rPr>
                <w:rFonts w:hint="eastAsia" w:ascii="宋体" w:hAnsi="宋体" w:eastAsia="宋体" w:cs="宋体"/>
                <w:color w:val="auto"/>
                <w:sz w:val="24"/>
                <w:szCs w:val="24"/>
                <w:highlight w:val="none"/>
              </w:rPr>
              <w:t xml:space="preserve">在需要时取出。 </w:t>
            </w:r>
          </w:p>
          <w:p w14:paraId="2B7B135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25.系统具备自动碎片整理功能，接收到关联的样本信息管理系统指令后，按一定逻辑整理零散样本管。 </w:t>
            </w:r>
          </w:p>
          <w:p w14:paraId="06BDC3C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26.液氮液位监测：采用压差检测系统实时测量罐内液位高度，检测灵敏度≤5mm，自动换算每天液氮消耗量。 </w:t>
            </w:r>
          </w:p>
          <w:p w14:paraId="37129E8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27.系统温度监测：系统包含≥2个铂金温度探头，分别测量储存区顶层温度和挑管区温度。另外设有一个独立的第三方温度探头接入孔。 </w:t>
            </w:r>
          </w:p>
          <w:p w14:paraId="2EE8FBB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28.系统具备高低温报警，高低液位报警及多项运行故障本地声光报警功能；可选配独立的第三方监控系统，在液氮罐内温度超限时启动远程报警。 </w:t>
            </w:r>
          </w:p>
          <w:p w14:paraId="1D09DF0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29.系统配备液氮自动补充系统，在低液位时自动填充液氮。 </w:t>
            </w:r>
          </w:p>
          <w:p w14:paraId="10985D5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30.系统标配热气旁路；进液通路标配双电磁阀，互为备份。 </w:t>
            </w:r>
          </w:p>
          <w:p w14:paraId="593277D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★31.系统与样本库柔性机器人对接，并通过柔性机器人传送液氮转运桶，实现库区无人化样本自动存取。</w:t>
            </w:r>
          </w:p>
          <w:p w14:paraId="47B5FE7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32.系统配备脚轮和固定装置，解除固定装置后，系统可进行短距离移动。 </w:t>
            </w:r>
          </w:p>
          <w:p w14:paraId="461D250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33.系统内部配备≥1个视频监控探头，可拍摄内部存取操作过程，并通过触摸屏实时播放。监控视频可存储、下载、方便维修和溯源。 </w:t>
            </w:r>
          </w:p>
          <w:p w14:paraId="0FE4BD6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34.系统具有多级权限管理功能，兼容账户密码输入和人脸识别系统进行操作认证。 </w:t>
            </w:r>
          </w:p>
          <w:p w14:paraId="2F999A8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▲35.系统配备 UPS，断电后具有报警功能，</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为系统</w:t>
            </w:r>
            <w:r>
              <w:rPr>
                <w:rFonts w:hint="eastAsia" w:ascii="宋体" w:hAnsi="宋体" w:eastAsia="宋体" w:cs="宋体"/>
                <w:color w:val="auto"/>
                <w:sz w:val="24"/>
                <w:szCs w:val="24"/>
                <w:highlight w:val="none"/>
                <w:lang w:val="en-US" w:eastAsia="zh-CN"/>
              </w:rPr>
              <w:t>持续</w:t>
            </w:r>
            <w:r>
              <w:rPr>
                <w:rFonts w:hint="eastAsia" w:ascii="宋体" w:hAnsi="宋体" w:eastAsia="宋体" w:cs="宋体"/>
                <w:color w:val="auto"/>
                <w:sz w:val="24"/>
                <w:szCs w:val="24"/>
                <w:highlight w:val="none"/>
              </w:rPr>
              <w:t xml:space="preserve">供电≥30分钟。 </w:t>
            </w:r>
          </w:p>
          <w:p w14:paraId="6449097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36.系统标配≥12英寸触控屏幕，点击触摸屏上相应功能键启动上位机任务执行；启动单机存取，挑管任务执行；进行权限、参数、报警、充液、除湿设置；查看运行参数、运行日志、任务执行状态；进行自动化机构运行错误处理及接续任务执行。 </w:t>
            </w:r>
          </w:p>
          <w:p w14:paraId="70598A2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37.交货时提供设备原厂说明书一份。</w:t>
            </w:r>
          </w:p>
        </w:tc>
      </w:tr>
      <w:tr w14:paraId="7F9D648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32F808D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840" w:type="dxa"/>
            <w:tcBorders>
              <w:top w:val="nil"/>
              <w:left w:val="nil"/>
              <w:bottom w:val="single" w:color="auto" w:sz="4" w:space="0"/>
              <w:right w:val="single" w:color="auto" w:sz="4" w:space="0"/>
            </w:tcBorders>
            <w:noWrap w:val="0"/>
            <w:vAlign w:val="center"/>
          </w:tcPr>
          <w:p w14:paraId="43979F6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全自动气相液氮存储系统</w:t>
            </w:r>
          </w:p>
        </w:tc>
        <w:tc>
          <w:tcPr>
            <w:tcW w:w="570" w:type="dxa"/>
            <w:tcBorders>
              <w:top w:val="nil"/>
              <w:left w:val="nil"/>
              <w:bottom w:val="single" w:color="auto" w:sz="4" w:space="0"/>
              <w:right w:val="single" w:color="auto" w:sz="4" w:space="0"/>
            </w:tcBorders>
            <w:noWrap/>
            <w:vAlign w:val="center"/>
          </w:tcPr>
          <w:p w14:paraId="148BFF4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3EC66EE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185.25 </w:t>
            </w:r>
          </w:p>
        </w:tc>
        <w:tc>
          <w:tcPr>
            <w:tcW w:w="6276" w:type="dxa"/>
            <w:tcBorders>
              <w:top w:val="single" w:color="auto" w:sz="4" w:space="0"/>
              <w:left w:val="nil"/>
              <w:bottom w:val="single" w:color="auto" w:sz="4" w:space="0"/>
            </w:tcBorders>
            <w:noWrap w:val="0"/>
            <w:vAlign w:val="top"/>
          </w:tcPr>
          <w:p w14:paraId="523E1A2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★1.气相液氮存储方式，样本储存区域冻存架顶部温度：≤-180℃。 </w:t>
            </w:r>
          </w:p>
          <w:p w14:paraId="130BCA7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★2.单台系统存储量：≥5 万份（SBS 格式冻存盒，0.75ml 冻存管）；配置</w:t>
            </w:r>
            <w:r>
              <w:rPr>
                <w:rFonts w:hint="eastAsia" w:ascii="宋体" w:hAnsi="宋体" w:eastAsia="宋体" w:cs="宋体"/>
                <w:color w:val="auto"/>
                <w:sz w:val="24"/>
                <w:szCs w:val="24"/>
                <w:highlight w:val="none"/>
                <w:lang w:val="en-US" w:eastAsia="zh-CN"/>
              </w:rPr>
              <w:t>配套</w:t>
            </w:r>
            <w:r>
              <w:rPr>
                <w:rFonts w:hint="eastAsia" w:ascii="宋体" w:hAnsi="宋体" w:eastAsia="宋体" w:cs="宋体"/>
                <w:color w:val="auto"/>
                <w:sz w:val="24"/>
                <w:szCs w:val="24"/>
                <w:highlight w:val="none"/>
              </w:rPr>
              <w:t>SBS 格式冻存盒不少于100个及相应冻存管。</w:t>
            </w:r>
          </w:p>
          <w:p w14:paraId="5127431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3.单台系统尺寸：深1.9m×宽1.45m×高2.5m。（±0.5m） </w:t>
            </w:r>
          </w:p>
          <w:p w14:paraId="64B2476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▲4.气相状态使用时，平台下液氮最大容量：≥150L，液氮静态蒸发量：≤15L/天，液氮断供后，冻存架顶部-180℃以下静态维持时间≥6天，-135℃以下静态维持时间不少于10天。 </w:t>
            </w:r>
          </w:p>
          <w:p w14:paraId="0D81E92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5.系统存储区为不锈钢真空偏颈小口罐，罐口位于顶部，侧壁无开口。罐口除外所有罐体均有真空覆盖，罐口面积≤罐体横截面积的 25%。 </w:t>
            </w:r>
          </w:p>
          <w:p w14:paraId="0213E03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▲6.所有样本管在存储区内均以标准96孔SBS冻存盒格式存储，无需转板，实现整盒样本的快速自动存取。 </w:t>
            </w:r>
          </w:p>
          <w:p w14:paraId="2E15898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7.系统内部集成整板2D扫描仪，每次样本入系统时均可自动整板扫码，实时复核样本ID信息，避免出现多管，少管，错管，错位等问题。 </w:t>
            </w:r>
          </w:p>
          <w:p w14:paraId="3FEE784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8.系统上腔体密封，具备湿度实时测量显示和自动除湿功能，有效避免内部结水结霜，保障自动化系统运行顺畅，同时避免自动化部件受到外力碰撞引起故障。 </w:t>
            </w:r>
          </w:p>
          <w:p w14:paraId="14EC792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9.根据任务单完成整盒样本的自动存取；在60~90秒内存入或取出罐内任意位置冻存盒。 </w:t>
            </w:r>
          </w:p>
          <w:p w14:paraId="096EEF9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10.出库冻存盒如在预设时间内未被取走，自动返回液氮罐，确保样本安全，并避免妨碍其他任务的执行。 </w:t>
            </w:r>
          </w:p>
          <w:p w14:paraId="6D3C3EE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★11.标配可自由进出存储系统的液氮转运桶，样品出入系统均置于转运桶中，温度始终低于-150°C。</w:t>
            </w:r>
          </w:p>
          <w:p w14:paraId="4962682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★12.系统与样本库柔性机器人对接，并通过柔性机器人传送液氮转运桶，实现库区无人化样本自动存取。 </w:t>
            </w:r>
          </w:p>
          <w:p w14:paraId="1B82411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13.抓盒机械臂采用多轴机械手，在重复场景下增加取盒精度和稳定性。 </w:t>
            </w:r>
          </w:p>
          <w:p w14:paraId="119919A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14.系统上腔体配备监控摄像头，实时查看系统内部操作状态。视频随时调出查看，下载储存。 </w:t>
            </w:r>
          </w:p>
          <w:p w14:paraId="3534BC4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15.储存罐内温度和液位实时监控，配备液氮自动补充系统，在低液位时自动填充液氮，保障样本安全。 </w:t>
            </w:r>
          </w:p>
          <w:p w14:paraId="388EFEB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16.液氮液位监测：采用压差检测系统实时测量罐内液位高度，检测灵敏度≤5mm，自动换算每天液氮消耗量。 </w:t>
            </w:r>
          </w:p>
          <w:p w14:paraId="261AE77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▲17.配备 UPS，断电后具有报警功能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为系统</w:t>
            </w:r>
            <w:r>
              <w:rPr>
                <w:rFonts w:hint="eastAsia" w:ascii="宋体" w:hAnsi="宋体" w:eastAsia="宋体" w:cs="宋体"/>
                <w:color w:val="auto"/>
                <w:sz w:val="24"/>
                <w:szCs w:val="24"/>
                <w:highlight w:val="none"/>
                <w:lang w:val="en-US" w:eastAsia="zh-CN"/>
              </w:rPr>
              <w:t>持续</w:t>
            </w:r>
            <w:r>
              <w:rPr>
                <w:rFonts w:hint="eastAsia" w:ascii="宋体" w:hAnsi="宋体" w:eastAsia="宋体" w:cs="宋体"/>
                <w:color w:val="auto"/>
                <w:sz w:val="24"/>
                <w:szCs w:val="24"/>
                <w:highlight w:val="none"/>
              </w:rPr>
              <w:t xml:space="preserve">供电≥30分钟。 </w:t>
            </w:r>
          </w:p>
          <w:p w14:paraId="2B4542B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18.系统具备高温报警，低液位报警及多项运行故障本地声光报警功能，在液氮罐内温度超限时启动远程短信、微信或邮件报警。 </w:t>
            </w:r>
          </w:p>
          <w:p w14:paraId="40CE382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▲19.系统应具备手动辅助操作功能，当发生重大故障或自然灾害情况下，无需额外专用设备，手动将样本以冻存架或冻存盒为单位安全地转移出系统，直接放入普通气相液氮罐存储。 </w:t>
            </w:r>
          </w:p>
          <w:p w14:paraId="43B134C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20.彩色触摸屏控制系统，屏幕尺寸≥12 英寸。中文操作界面。具有完备的样本位置管理功能，定位出入库功能，样本位置追踪审计功能。 </w:t>
            </w:r>
          </w:p>
          <w:p w14:paraId="79E1F45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21.与国内多家样本库信息管理系统对接，实现由样本库信息管理系统发号指令远程操作自动化冷库完成样本存取和整理工作，并在工作完成后给予系统确认反馈机制。 </w:t>
            </w:r>
          </w:p>
          <w:p w14:paraId="4CFBD77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22.具备三级权限管理功能，未授权人员无法接触到系统内样本，也不能查看，修改系统设置。 </w:t>
            </w:r>
          </w:p>
          <w:p w14:paraId="2CEF7AF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23</w:t>
            </w:r>
            <w:r>
              <w:rPr>
                <w:rFonts w:hint="eastAsia" w:ascii="宋体" w:hAnsi="宋体" w:eastAsia="宋体" w:cs="宋体"/>
                <w:color w:val="auto"/>
                <w:sz w:val="24"/>
                <w:szCs w:val="24"/>
                <w:highlight w:val="none"/>
              </w:rPr>
              <w:t xml:space="preserve">.配备人脸识别登录模式及密码登录模式，选中任务后，通过屏幕处人脸识别模块直接认证登录。 </w:t>
            </w:r>
          </w:p>
          <w:p w14:paraId="7CA010D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24.配备第三方监控系统，实时记录自动化存储系统的运行温度数据，远程查看相关记录文件。当温度超限时，及时通过微信，短信等方式发送远程报警信息。 </w:t>
            </w:r>
          </w:p>
          <w:p w14:paraId="76D4685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25.运行数据，操作日志，报警信息均可被完整记录在案且不可被修改，所有数据可被下载储存。 </w:t>
            </w:r>
          </w:p>
          <w:p w14:paraId="710F13F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▲26.系统与同品牌样本转运机器人无缝对接，实现库区内不同存储系统间样本的无人自动化转运。</w:t>
            </w:r>
          </w:p>
          <w:p w14:paraId="5339173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27.交货时提供设备原厂说明书一份。</w:t>
            </w:r>
          </w:p>
        </w:tc>
      </w:tr>
      <w:tr w14:paraId="2280F76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27F96E3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840" w:type="dxa"/>
            <w:tcBorders>
              <w:top w:val="nil"/>
              <w:left w:val="nil"/>
              <w:bottom w:val="single" w:color="auto" w:sz="4" w:space="0"/>
              <w:right w:val="single" w:color="auto" w:sz="4" w:space="0"/>
            </w:tcBorders>
            <w:noWrap w:val="0"/>
            <w:vAlign w:val="center"/>
          </w:tcPr>
          <w:p w14:paraId="41C9ACC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全自动超低温生物样本存储系统</w:t>
            </w:r>
          </w:p>
        </w:tc>
        <w:tc>
          <w:tcPr>
            <w:tcW w:w="570" w:type="dxa"/>
            <w:tcBorders>
              <w:top w:val="nil"/>
              <w:left w:val="nil"/>
              <w:bottom w:val="single" w:color="auto" w:sz="4" w:space="0"/>
              <w:right w:val="single" w:color="auto" w:sz="4" w:space="0"/>
            </w:tcBorders>
            <w:noWrap/>
            <w:vAlign w:val="center"/>
          </w:tcPr>
          <w:p w14:paraId="2CFACE2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0AADDE6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187.15 </w:t>
            </w:r>
          </w:p>
        </w:tc>
        <w:tc>
          <w:tcPr>
            <w:tcW w:w="6276" w:type="dxa"/>
            <w:tcBorders>
              <w:top w:val="single" w:color="auto" w:sz="4" w:space="0"/>
              <w:left w:val="nil"/>
              <w:bottom w:val="single" w:color="auto" w:sz="4" w:space="0"/>
            </w:tcBorders>
            <w:noWrap w:val="0"/>
            <w:vAlign w:val="top"/>
          </w:tcPr>
          <w:p w14:paraId="262875A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★1.自动化存储：全自动超低温生物样本存储系统自动完成样本的存取、识别、记录等操作。能保障生物样本在核心工作温度-80±</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.0℃环境中安全存储，同时设备能够自动化完成样本入库、转运、单支挑管、碎片或盘库整理、出库等。 </w:t>
            </w:r>
          </w:p>
          <w:p w14:paraId="2DFADDA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2.智能化管理：系统配备计算机管理软件，实现样本信息的录入、查询、统计、报表生成等功能，方便用户随时掌握样本的存储和管理情况。 </w:t>
            </w:r>
          </w:p>
          <w:p w14:paraId="28D4739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3.样本保护：系统自动监测存储区的温度、湿度等环境参数，确保样本在存储过程中的安全和稳定。</w:t>
            </w:r>
          </w:p>
          <w:p w14:paraId="79C3634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4.节省空间：系统采用紧凑设计，在有限的空间内实现大量的样本存储，提高了空间的利用率。 </w:t>
            </w:r>
          </w:p>
          <w:p w14:paraId="52B8758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★5、存储量：存储2ml标准SBS格式冻存管≥80000支，或工作容积0.5ml标准SBS格式冻存管≥200000支，实现整盒和单支冻存管自动化存取；配置</w:t>
            </w:r>
            <w:r>
              <w:rPr>
                <w:rFonts w:hint="eastAsia" w:ascii="宋体" w:hAnsi="宋体" w:eastAsia="宋体" w:cs="宋体"/>
                <w:color w:val="auto"/>
                <w:sz w:val="24"/>
                <w:szCs w:val="24"/>
                <w:highlight w:val="none"/>
                <w:lang w:val="en-US" w:eastAsia="zh-CN"/>
              </w:rPr>
              <w:t>配套</w:t>
            </w:r>
            <w:r>
              <w:rPr>
                <w:rFonts w:hint="eastAsia" w:ascii="宋体" w:hAnsi="宋体" w:eastAsia="宋体" w:cs="宋体"/>
                <w:color w:val="auto"/>
                <w:sz w:val="24"/>
                <w:szCs w:val="24"/>
                <w:highlight w:val="none"/>
              </w:rPr>
              <w:t>2ml 和0.5ml SBS格式冻存盒各不少于100个，以及相应的冻存管。</w:t>
            </w:r>
          </w:p>
          <w:p w14:paraId="1BB7F34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★6、样本在全自动超低温生物样本存储系统内以标准96孔SBS格式冻存盒为载体方式进行存储。</w:t>
            </w:r>
          </w:p>
          <w:p w14:paraId="72B2F2A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7、全自动超低温生物样本存储系统兼容SBS格式0.5ml、0.75ml、1.0ml、2.0ml不同规格冻存盒，同时支持</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特殊规格冻存盒适配定制。</w:t>
            </w:r>
          </w:p>
          <w:p w14:paraId="06B02DF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样本出入库时可自动进行扫码并核对样本管信息与存取指令目标管信息。挑管模块具备自动复核功能，冻存管挑取前后进行自动复核，避免冻存管挑取出错可能，当发生冻存管挑取失败或错误时及时发出声光报警。</w:t>
            </w:r>
          </w:p>
          <w:p w14:paraId="5BC9265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▲9、全自动超低温生物样本存储系统内冻存盒、冻存管的存取方式采用机械夹爪。</w:t>
            </w:r>
          </w:p>
          <w:p w14:paraId="0516ADD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▲10、存取样本时确保除目标样本盒外其他无关样本盒不会脱离-75℃以下超低温区域。设备内样本低温存储区域与自动化机构运行区域相互独立。</w:t>
            </w:r>
          </w:p>
          <w:p w14:paraId="12B5FA5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在库区为生物样本转运设施自动补充液氮，以维持样本始终处于-150℃以下低温保护状态并能被实时冷链监控系统监测实时温度；以实现库内设备自动化存储、样本自动化转运、转运罐无人化自动化补充液氮全流程无人化值守与运行模式。</w:t>
            </w:r>
            <w:r>
              <w:rPr>
                <w:rFonts w:hint="eastAsia" w:ascii="宋体" w:hAnsi="宋体" w:eastAsia="宋体" w:cs="宋体"/>
                <w:b/>
                <w:bCs/>
                <w:color w:val="auto"/>
                <w:sz w:val="24"/>
                <w:szCs w:val="24"/>
                <w:highlight w:val="none"/>
              </w:rPr>
              <w:t>（投标文件中提供自动加液实机运行视频</w:t>
            </w:r>
            <w:r>
              <w:rPr>
                <w:rFonts w:hint="eastAsia" w:ascii="宋体" w:hAnsi="宋体" w:eastAsia="宋体" w:cs="宋体"/>
                <w:b/>
                <w:bCs/>
                <w:color w:val="auto"/>
                <w:sz w:val="24"/>
                <w:szCs w:val="24"/>
                <w:highlight w:val="none"/>
                <w:lang w:val="en-US" w:eastAsia="zh-CN"/>
              </w:rPr>
              <w:t>及相应截图</w:t>
            </w:r>
            <w:r>
              <w:rPr>
                <w:rFonts w:hint="eastAsia" w:ascii="宋体" w:hAnsi="宋体" w:eastAsia="宋体" w:cs="宋体"/>
                <w:b/>
                <w:bCs/>
                <w:color w:val="auto"/>
                <w:sz w:val="24"/>
                <w:szCs w:val="24"/>
                <w:highlight w:val="none"/>
              </w:rPr>
              <w:t>）</w:t>
            </w:r>
          </w:p>
          <w:p w14:paraId="6E90625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12、系统具有存取监控装置，监测存取是否成功；系统内部的存取操作可追溯。</w:t>
            </w:r>
          </w:p>
          <w:p w14:paraId="04E0EDB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13、全自动超低温生物样本存储系统缓冲区内置扫码器，通过读取和验证冻存盒或冻存管的信息码。</w:t>
            </w:r>
          </w:p>
          <w:p w14:paraId="22C75A4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14.整套系统可根据系统指令自动化、智能化自主运行，运行数据可实时反馈至生物样本库管理系统。库区运行必须满足全程冷链运输以及无人值守应用场景</w:t>
            </w:r>
            <w:r>
              <w:rPr>
                <w:rFonts w:hint="eastAsia" w:ascii="宋体" w:hAnsi="宋体" w:eastAsia="宋体" w:cs="宋体"/>
                <w:color w:val="auto"/>
                <w:sz w:val="24"/>
                <w:szCs w:val="24"/>
                <w:highlight w:val="none"/>
                <w:lang w:eastAsia="zh-CN"/>
              </w:rPr>
              <w:t>。</w:t>
            </w:r>
          </w:p>
          <w:p w14:paraId="52192DC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15.设备配置彩色操作显示屏，屏幕尺寸≥15英寸，图像化显示样本入库管理、出库管理、查询管理、统计管理、系统管理等功能界面。</w:t>
            </w:r>
          </w:p>
          <w:p w14:paraId="6C4AC7F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▲16、存储区配置两套机械制冷系统，一用一备，单套制冷系统能够维持-80±</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.0℃的存储温度。设备配置UPS电源1套，在设备断电情况下维持自动化系统不间断运行≥30</w:t>
            </w:r>
            <w:r>
              <w:rPr>
                <w:rFonts w:hint="eastAsia" w:ascii="宋体" w:hAnsi="宋体" w:eastAsia="宋体" w:cs="宋体"/>
                <w:color w:val="auto"/>
                <w:sz w:val="24"/>
                <w:szCs w:val="24"/>
                <w:highlight w:val="none"/>
                <w:lang w:val="en-US" w:eastAsia="zh-CN"/>
              </w:rPr>
              <w:t>分钟</w:t>
            </w:r>
            <w:r>
              <w:rPr>
                <w:rFonts w:hint="eastAsia" w:ascii="宋体" w:hAnsi="宋体" w:eastAsia="宋体" w:cs="宋体"/>
                <w:color w:val="auto"/>
                <w:sz w:val="24"/>
                <w:szCs w:val="24"/>
                <w:highlight w:val="none"/>
              </w:rPr>
              <w:t>，能够完成当前样本出入库动作，备份数据等。控制系统必须有断电恢复功能。</w:t>
            </w:r>
          </w:p>
          <w:p w14:paraId="6ABB224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17、存储区设有自动门，便于样本出入并且避免冷量外泄。</w:t>
            </w:r>
          </w:p>
          <w:p w14:paraId="6099B9F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18、交货时提供设备原厂说明书一份。</w:t>
            </w:r>
          </w:p>
        </w:tc>
      </w:tr>
      <w:tr w14:paraId="00C00C1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3E32015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840" w:type="dxa"/>
            <w:tcBorders>
              <w:top w:val="nil"/>
              <w:left w:val="nil"/>
              <w:bottom w:val="single" w:color="auto" w:sz="4" w:space="0"/>
              <w:right w:val="single" w:color="auto" w:sz="4" w:space="0"/>
            </w:tcBorders>
            <w:noWrap w:val="0"/>
            <w:vAlign w:val="center"/>
          </w:tcPr>
          <w:p w14:paraId="75177CE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全自动样本转运机器人</w:t>
            </w:r>
          </w:p>
        </w:tc>
        <w:tc>
          <w:tcPr>
            <w:tcW w:w="570" w:type="dxa"/>
            <w:tcBorders>
              <w:top w:val="nil"/>
              <w:left w:val="nil"/>
              <w:bottom w:val="single" w:color="auto" w:sz="4" w:space="0"/>
              <w:right w:val="single" w:color="auto" w:sz="4" w:space="0"/>
            </w:tcBorders>
            <w:noWrap/>
            <w:vAlign w:val="center"/>
          </w:tcPr>
          <w:p w14:paraId="272352C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34C9785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76.00 </w:t>
            </w:r>
          </w:p>
        </w:tc>
        <w:tc>
          <w:tcPr>
            <w:tcW w:w="6276" w:type="dxa"/>
            <w:tcBorders>
              <w:top w:val="single" w:color="auto" w:sz="4" w:space="0"/>
              <w:left w:val="nil"/>
              <w:bottom w:val="single" w:color="auto" w:sz="4" w:space="0"/>
            </w:tcBorders>
            <w:noWrap w:val="0"/>
            <w:vAlign w:val="top"/>
          </w:tcPr>
          <w:p w14:paraId="590C2DF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1.正常转运过程中样本在气相液氮系统中温度≤-150℃或样品在液相液氮系统中温度≤-180℃。 </w:t>
            </w:r>
          </w:p>
          <w:p w14:paraId="0CAABA7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 xml:space="preserve">.具有无人驾驶和自动导向功能，在不依赖轨道或人工引航的情况下能够将样本自动从起始点运送到目的地。机器人行走路线范围内，地面上无需设置任何marker点。 </w:t>
            </w:r>
          </w:p>
          <w:p w14:paraId="3FF8F45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 xml:space="preserve">.柔性程度高，遇到障碍物可自动调整方向绕行，避免碰撞，行驶路径可以根据目标和障碍物实时自动调整。 </w:t>
            </w:r>
          </w:p>
          <w:p w14:paraId="441679D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 xml:space="preserve">.转运机器人应具备自主充电、根据任务自动规划传送方案和路线等功能。 </w:t>
            </w:r>
          </w:p>
          <w:p w14:paraId="136E374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 xml:space="preserve">.可转运样本格式SBS格式冻存盒或麦管套管。 </w:t>
            </w:r>
          </w:p>
          <w:p w14:paraId="31F4B57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 xml:space="preserve">.产品尺寸：长950mm×宽650mm×高1350mm（±20mm） </w:t>
            </w:r>
          </w:p>
          <w:p w14:paraId="75C4E8C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 xml:space="preserve">.行驶方式：至少包含前进/后退/左右转/原地调头。 </w:t>
            </w:r>
          </w:p>
          <w:p w14:paraId="4ECDEA3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 xml:space="preserve">.行驶速度：最大前进速度≥1.3m/s;最大后退速度≥0.2m/s。 </w:t>
            </w:r>
          </w:p>
          <w:p w14:paraId="1A5BD2B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 xml:space="preserve">.电池续航时间：满电量启用，续航≥5小时或≥10km。 </w:t>
            </w:r>
          </w:p>
          <w:p w14:paraId="192E72A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 xml:space="preserve">.对接方式：与自动化存储设备之间通过传送带直接交接液氮转运桶。 </w:t>
            </w:r>
          </w:p>
          <w:p w14:paraId="5F70E95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 xml:space="preserve">.机器人运送样本过程中，液氮转运桶完全包被在机器人内部。 </w:t>
            </w:r>
          </w:p>
          <w:p w14:paraId="66A3BE6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.对接精度：精准对接设备存储系统，对接误差±5mm。</w:t>
            </w:r>
          </w:p>
          <w:p w14:paraId="02B274C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13.交货时提供设备原厂说明书一份。</w:t>
            </w:r>
            <w:r>
              <w:rPr>
                <w:rFonts w:hint="eastAsia" w:ascii="宋体" w:hAnsi="宋体" w:eastAsia="宋体" w:cs="宋体"/>
                <w:color w:val="auto"/>
                <w:sz w:val="24"/>
                <w:szCs w:val="24"/>
                <w:highlight w:val="none"/>
              </w:rPr>
              <w:t xml:space="preserve"> </w:t>
            </w:r>
          </w:p>
        </w:tc>
      </w:tr>
      <w:tr w14:paraId="19AFDF4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6F5381F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840" w:type="dxa"/>
            <w:tcBorders>
              <w:top w:val="nil"/>
              <w:left w:val="nil"/>
              <w:bottom w:val="single" w:color="auto" w:sz="4" w:space="0"/>
              <w:right w:val="single" w:color="auto" w:sz="4" w:space="0"/>
            </w:tcBorders>
            <w:noWrap w:val="0"/>
            <w:vAlign w:val="center"/>
          </w:tcPr>
          <w:p w14:paraId="42E9810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样本库双面传递窗</w:t>
            </w:r>
          </w:p>
        </w:tc>
        <w:tc>
          <w:tcPr>
            <w:tcW w:w="570" w:type="dxa"/>
            <w:tcBorders>
              <w:top w:val="nil"/>
              <w:left w:val="nil"/>
              <w:bottom w:val="single" w:color="auto" w:sz="4" w:space="0"/>
              <w:right w:val="single" w:color="auto" w:sz="4" w:space="0"/>
            </w:tcBorders>
            <w:noWrap/>
            <w:vAlign w:val="center"/>
          </w:tcPr>
          <w:p w14:paraId="6B0F479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30" w:type="dxa"/>
            <w:tcBorders>
              <w:top w:val="nil"/>
              <w:left w:val="nil"/>
              <w:bottom w:val="single" w:color="auto" w:sz="4" w:space="0"/>
              <w:right w:val="single" w:color="auto" w:sz="4" w:space="0"/>
            </w:tcBorders>
            <w:noWrap w:val="0"/>
            <w:vAlign w:val="center"/>
          </w:tcPr>
          <w:p w14:paraId="66E1FE0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19.00 </w:t>
            </w:r>
          </w:p>
        </w:tc>
        <w:tc>
          <w:tcPr>
            <w:tcW w:w="6276" w:type="dxa"/>
            <w:tcBorders>
              <w:top w:val="single" w:color="auto" w:sz="4" w:space="0"/>
              <w:left w:val="nil"/>
              <w:bottom w:val="single" w:color="auto" w:sz="4" w:space="0"/>
            </w:tcBorders>
            <w:noWrap w:val="0"/>
            <w:vAlign w:val="top"/>
          </w:tcPr>
          <w:p w14:paraId="1153FB98">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1.自动化传递窗高度2m×宽度0.5m×深度0.5m（±0.2m），落地式设计，可直接嵌入墙体，外表面可与墙体无缝对接。 </w:t>
            </w:r>
          </w:p>
          <w:p w14:paraId="574F0C22">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2.传递窗正面为人机样本交接窗口，配备≥12英寸彩色触摸屏控制系统，显示样本转运温度，任务状态及报警信息。具有参数设置、账户管理、任务管理，日志查看及下载等功能。 </w:t>
            </w:r>
          </w:p>
          <w:p w14:paraId="5C3216D0">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3.传递窗触摸屏控制系统具有3级权限管理功能，通过权限认证才能启动传递窗开门进行样本存取。权限认证通过人脸识实现</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输入账号密码实现。 </w:t>
            </w:r>
          </w:p>
          <w:p w14:paraId="48B5CB3E">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4.传递窗外侧实现工作人员与传递窗的样本交接，传递窗内侧可对接样本库内转运机器人，完成样本的自动化交接与转运，从而实现库内的无人化样本存取。 </w:t>
            </w:r>
          </w:p>
          <w:p w14:paraId="4B815178">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5.传递窗人机交接以深低温转运桶为媒介，传递窗实时测量放入其内转运桶的温度，当转运桶温度高于-150℃时，</w:t>
            </w:r>
            <w:r>
              <w:rPr>
                <w:rFonts w:hint="eastAsia" w:ascii="宋体" w:hAnsi="宋体" w:eastAsia="宋体" w:cs="宋体"/>
                <w:color w:val="auto"/>
                <w:sz w:val="24"/>
                <w:szCs w:val="24"/>
                <w:highlight w:val="none"/>
                <w:lang w:val="en-US" w:eastAsia="zh-CN"/>
              </w:rPr>
              <w:t>立即</w:t>
            </w:r>
            <w:r>
              <w:rPr>
                <w:rFonts w:hint="eastAsia" w:ascii="宋体" w:hAnsi="宋体" w:eastAsia="宋体" w:cs="宋体"/>
                <w:color w:val="auto"/>
                <w:sz w:val="24"/>
                <w:szCs w:val="24"/>
                <w:highlight w:val="none"/>
              </w:rPr>
              <w:t xml:space="preserve">触发屏幕报警提示及声音报警。 </w:t>
            </w:r>
          </w:p>
          <w:p w14:paraId="22853D48">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6.当样本送达传递窗或传递窗开门超时，传递窗及时发出样本到达或开门超时的语音提醒。当传递窗任务执行错误或发生机械故障时，发出声音报警。 </w:t>
            </w:r>
          </w:p>
          <w:p w14:paraId="4559294F">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7.传递窗两侧为互锁自动门，窗内配备空气过滤器，有效隔离，净化库内外空气，有效降低库内外交叉污染风险。 </w:t>
            </w:r>
          </w:p>
          <w:p w14:paraId="38FA2AEF">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8.传递窗内外侧均配备急停按钮，在紧急情况下终止任务执行。 </w:t>
            </w:r>
          </w:p>
          <w:p w14:paraId="3FA9E677">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9.传递窗配备UPS，在断电后具有报警功能</w:t>
            </w:r>
            <w:r>
              <w:rPr>
                <w:rFonts w:hint="eastAsia" w:ascii="宋体" w:hAnsi="宋体" w:eastAsia="宋体" w:cs="宋体"/>
                <w:color w:val="auto"/>
                <w:sz w:val="24"/>
                <w:szCs w:val="24"/>
                <w:highlight w:val="none"/>
                <w:lang w:eastAsia="zh-CN"/>
              </w:rPr>
              <w:t>，能为系统持续供电</w:t>
            </w:r>
            <w:r>
              <w:rPr>
                <w:rFonts w:hint="eastAsia" w:ascii="宋体" w:hAnsi="宋体" w:eastAsia="宋体" w:cs="宋体"/>
                <w:color w:val="auto"/>
                <w:sz w:val="24"/>
                <w:szCs w:val="24"/>
                <w:highlight w:val="none"/>
              </w:rPr>
              <w:t>≥30</w:t>
            </w:r>
            <w:r>
              <w:rPr>
                <w:rFonts w:hint="eastAsia" w:ascii="宋体" w:hAnsi="宋体" w:eastAsia="宋体" w:cs="宋体"/>
                <w:color w:val="auto"/>
                <w:sz w:val="24"/>
                <w:szCs w:val="24"/>
                <w:highlight w:val="none"/>
                <w:lang w:val="en-US" w:eastAsia="zh-CN"/>
              </w:rPr>
              <w:t>分钟</w:t>
            </w:r>
            <w:r>
              <w:rPr>
                <w:rFonts w:hint="eastAsia" w:ascii="宋体" w:hAnsi="宋体" w:eastAsia="宋体" w:cs="宋体"/>
                <w:color w:val="auto"/>
                <w:sz w:val="24"/>
                <w:szCs w:val="24"/>
                <w:highlight w:val="none"/>
              </w:rPr>
              <w:t>。</w:t>
            </w:r>
          </w:p>
          <w:p w14:paraId="2E864D69">
            <w:pPr>
              <w:pStyle w:val="2"/>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10.交货时提供设备原厂说明书一份。</w:t>
            </w:r>
          </w:p>
        </w:tc>
      </w:tr>
      <w:tr w14:paraId="21CD5A9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425D415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840" w:type="dxa"/>
            <w:tcBorders>
              <w:top w:val="nil"/>
              <w:left w:val="nil"/>
              <w:bottom w:val="single" w:color="auto" w:sz="4" w:space="0"/>
              <w:right w:val="single" w:color="auto" w:sz="4" w:space="0"/>
            </w:tcBorders>
            <w:noWrap w:val="0"/>
            <w:vAlign w:val="center"/>
          </w:tcPr>
          <w:p w14:paraId="5C5F48C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样本转运罐</w:t>
            </w:r>
          </w:p>
        </w:tc>
        <w:tc>
          <w:tcPr>
            <w:tcW w:w="570" w:type="dxa"/>
            <w:tcBorders>
              <w:top w:val="nil"/>
              <w:left w:val="nil"/>
              <w:bottom w:val="single" w:color="auto" w:sz="4" w:space="0"/>
              <w:right w:val="single" w:color="auto" w:sz="4" w:space="0"/>
            </w:tcBorders>
            <w:noWrap/>
            <w:vAlign w:val="center"/>
          </w:tcPr>
          <w:p w14:paraId="6EECD85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30" w:type="dxa"/>
            <w:tcBorders>
              <w:top w:val="nil"/>
              <w:left w:val="nil"/>
              <w:bottom w:val="single" w:color="auto" w:sz="4" w:space="0"/>
              <w:right w:val="single" w:color="auto" w:sz="4" w:space="0"/>
            </w:tcBorders>
            <w:noWrap w:val="0"/>
            <w:vAlign w:val="center"/>
          </w:tcPr>
          <w:p w14:paraId="22902BA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2.85 </w:t>
            </w:r>
          </w:p>
        </w:tc>
        <w:tc>
          <w:tcPr>
            <w:tcW w:w="6276" w:type="dxa"/>
            <w:tcBorders>
              <w:top w:val="single" w:color="auto" w:sz="4" w:space="0"/>
              <w:left w:val="nil"/>
              <w:bottom w:val="single" w:color="auto" w:sz="4" w:space="0"/>
            </w:tcBorders>
            <w:noWrap w:val="0"/>
            <w:vAlign w:val="top"/>
          </w:tcPr>
          <w:p w14:paraId="62CFC05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1.与全自动气相液氮存储系统、全自动液相液氮存储系统、样本库双面传递窗进行对接，开盖完成与系统间的样本交接，确保交接过程中，样本温度始终≤-150℃环境。</w:t>
            </w:r>
          </w:p>
          <w:p w14:paraId="0454087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2.支持全自动样本转运机器人进行转运罐的转运，使得转运桶内样本在多台自动化液氮存储设备之间来回转运，实现全库区无人化存取。</w:t>
            </w:r>
          </w:p>
          <w:p w14:paraId="57AFCF7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3.样本转运罐温度监测数据在网络与样本库管理系统联通时支持温度数据上传。</w:t>
            </w:r>
          </w:p>
          <w:p w14:paraId="31329AF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▲4.加注液氮后，维持-150℃以下时间≥4小时。</w:t>
            </w:r>
          </w:p>
          <w:p w14:paraId="6F79722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▲5.单次转运样本量：1盒冻存管或1盒麦管套管。</w:t>
            </w:r>
          </w:p>
          <w:p w14:paraId="455D603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6.转运桶实时显示当前温度。温度超限时支持由转运机器人运输到自动化液氮存储设备中进行液氮加注。</w:t>
            </w:r>
          </w:p>
          <w:p w14:paraId="2651722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▲7.转运罐内置电池，电池容量≥5000mA，支持低电量提醒及时充电。</w:t>
            </w:r>
          </w:p>
          <w:p w14:paraId="2CD7450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8.交货时提供设备原厂说明书一份。</w:t>
            </w:r>
          </w:p>
        </w:tc>
      </w:tr>
      <w:tr w14:paraId="2106A84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69F2704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840" w:type="dxa"/>
            <w:tcBorders>
              <w:top w:val="nil"/>
              <w:left w:val="nil"/>
              <w:bottom w:val="single" w:color="auto" w:sz="4" w:space="0"/>
              <w:right w:val="single" w:color="auto" w:sz="4" w:space="0"/>
            </w:tcBorders>
            <w:noWrap w:val="0"/>
            <w:vAlign w:val="center"/>
          </w:tcPr>
          <w:p w14:paraId="1751DE2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库管理系统</w:t>
            </w:r>
          </w:p>
        </w:tc>
        <w:tc>
          <w:tcPr>
            <w:tcW w:w="570" w:type="dxa"/>
            <w:tcBorders>
              <w:top w:val="nil"/>
              <w:left w:val="nil"/>
              <w:bottom w:val="single" w:color="auto" w:sz="4" w:space="0"/>
              <w:right w:val="single" w:color="auto" w:sz="4" w:space="0"/>
            </w:tcBorders>
            <w:noWrap/>
            <w:vAlign w:val="center"/>
          </w:tcPr>
          <w:p w14:paraId="0B9DBAF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6E4421B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38.00 </w:t>
            </w:r>
          </w:p>
        </w:tc>
        <w:tc>
          <w:tcPr>
            <w:tcW w:w="6276" w:type="dxa"/>
            <w:tcBorders>
              <w:top w:val="single" w:color="auto" w:sz="4" w:space="0"/>
              <w:left w:val="nil"/>
              <w:bottom w:val="single" w:color="auto" w:sz="4" w:space="0"/>
            </w:tcBorders>
            <w:noWrap w:val="0"/>
            <w:vAlign w:val="top"/>
          </w:tcPr>
          <w:p w14:paraId="63E14333">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1.系统采用 B/S（浏览器/服务器）架构模式，能兼容主流浏览器，不需要额外安装程序使用系统。根据不同人员工作重心，配置专属页面，包括不限于 PI、样本库主任、管理人员、操作人员、系统管理员多种角色。 </w:t>
            </w:r>
          </w:p>
          <w:p w14:paraId="7546C6F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2.系统支持多单位管理，</w:t>
            </w:r>
            <w:r>
              <w:rPr>
                <w:rFonts w:hint="eastAsia" w:ascii="宋体" w:hAnsi="宋体" w:eastAsia="宋体" w:cs="宋体"/>
                <w:color w:val="auto"/>
                <w:sz w:val="24"/>
                <w:szCs w:val="24"/>
                <w:highlight w:val="none"/>
                <w:lang w:val="en-US" w:eastAsia="zh-CN"/>
              </w:rPr>
              <w:t>支持</w:t>
            </w:r>
            <w:r>
              <w:rPr>
                <w:rFonts w:hint="eastAsia" w:ascii="宋体" w:hAnsi="宋体" w:eastAsia="宋体" w:cs="宋体"/>
                <w:color w:val="auto"/>
                <w:sz w:val="24"/>
                <w:szCs w:val="24"/>
                <w:highlight w:val="none"/>
              </w:rPr>
              <w:t xml:space="preserve">创建不同的中心，有独立的账号权限体系，数据完全隔离，互不干扰。系统支持微服务架构，前后端分离模式，随业务扩展随时扩充资源，保证系统稳定高效运行及开发扩展。 </w:t>
            </w:r>
          </w:p>
          <w:p w14:paraId="47973CC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3.系统支持千万级样本及扩展数据的情况下稳定运行，各页面加载时间≤</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 xml:space="preserve">秒。 </w:t>
            </w:r>
          </w:p>
          <w:p w14:paraId="561AD3C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4.具备与存储设备具备物联功能，通过存储设备自带程序直接与冰箱互联互通，图形化展示存储情况，出入库任务，获取冰箱温度等关键信息，不需要额外添加屏幕及程序，减少人员重复登录点击等操作。 </w:t>
            </w:r>
          </w:p>
          <w:p w14:paraId="1AE236B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支持维护项目基本信息，比如立项申请、起止时间、项目成员和存储样本类型等信息。第一级审批未审批前，用户可撤回项目进行编辑。项目选择样本类型存储数量可设置阈值，超过在首页进行预警，及时提醒用户进行人遗变更。支持查看项目样本的采集完成情况。 </w:t>
            </w:r>
          </w:p>
          <w:p w14:paraId="4D7FB04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 xml:space="preserve">.样本源管理：少量样本源注册，维护样本源基本信息。注册样本源后可继续维护样本信息，设置采样方案自动生成样本。批量样本源注册，如果需要同步注册样本，按照示例填写导入自动生成样本源和样本信息。 </w:t>
            </w:r>
          </w:p>
          <w:p w14:paraId="0014240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.样本管理：少量样本注册，维护样本信息，支持两种方式（系统编码自动生成、外部编码生成）生成样本。注册样本时</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选择是否入库，如果入库，</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提前关联入库位置。样本生成后</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 xml:space="preserve">选择是否直接生成入库单据。 </w:t>
            </w:r>
          </w:p>
          <w:p w14:paraId="0F07C29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.支持针对不同的用户个性化的需求自定义设置列表展示信息，</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设置排序规则、拖拽排序、导入、导出、是否搜索等功能。批量样本注册，支持同时导入入库位置，入库位置坐标格式灵活填写，系统自动匹配适当规则进行转换支持结合批量扫描仪进行操作，扫描生成整盒样本数据，补充完样本信息后可进行后续入库操作。支持批量修改样本信息。样本支持设置普通搜索条件，</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设置字段是否支持模糊搜索。支持自定义样本组合搜索条件进行查询，</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 xml:space="preserve">保存样本查询条件。 </w:t>
            </w:r>
          </w:p>
          <w:p w14:paraId="4A7E531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 xml:space="preserve">.容器管理：支持维护设备基本信息，如物联编码（对接温度数据）、所属项目（项目权限，可自动推荐上次项目入库位置）、设备类型（冰箱、液氮罐等）、系统支持内置设备型号，自动带出维护好的冻存架冻存盒结构信息，支持批量创建相同设备。设置不同规格冻存架，支持禁用冻存盒存放位置。支持方型冻存盒及无结构（袋子、瓶子等）盒子支持，按照用户实际，支持设置不同数量、字母或者数字展示的冻存盒展示，支持禁用盒子字母I，支持禁用盒子内孔位是否禁放样本。支持系统编码规则生成或者直接扫描添加盒子，扫码添加盒子有设备-冻存架图形化展示界面，直观操作，确保盒子入库准确。支持z型或者N型顺序入库盒子。 </w:t>
            </w:r>
          </w:p>
          <w:p w14:paraId="1389949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.出入库管理：支持冻存盒入库和冻存管入库两种方式，选择样本后自动按照项目计算各个项目不同样本类型数量。入库确认</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 xml:space="preserve">选择盒子进行z型或者N型顺序入库，入库时支持扫码也支持一键顺序入库。支持填写出库原因、归还时间、记录冻融次数、是否保留位置等信息进行选择样本出库，出库时可以导入样本清单，也可支持组合条件查询出库。支持填写销毁原因及销毁时间，线上走完销毁流程后进行实物销毁。支持打印单据明细。支持导出单据 PDF文件。 </w:t>
            </w:r>
          </w:p>
          <w:p w14:paraId="153A133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 xml:space="preserve">.统计查询：支持按照样本相关字段进行统计，可切换饼图、折线图和柱状图，统计报表可下载。支持按照不同维度进行样本出入库数量统计，可切换饼图、折线图和柱状图，统计报表可下载。支持拼接项目、样本和样本源字段进行展示，可导出查询数据。 </w:t>
            </w:r>
          </w:p>
          <w:p w14:paraId="6FB4E15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 xml:space="preserve">.日志管理：支持查看基础数据、设备、单据、样本、项目和样本源的操作日志。查看不同账号的登录地址以及登录状态。 </w:t>
            </w:r>
          </w:p>
          <w:p w14:paraId="388C36F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 xml:space="preserve">.系统管理：支持导入创建账号，分配角色及设置账号有效期，密码错误时可重置密码。支持创建部门组织架构。支持设置不同用户角色，配置不同功能菜单，可设置当前角色数据权限，如：全部数据权限、自定数据权限、本部门数据权限、本部门及以下数据权限、仅本人数据权限等。 </w:t>
            </w:r>
          </w:p>
          <w:p w14:paraId="35413C0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.基础配置：支持自定义项目、入库、出库、销毁审批流。根据用户需求进行项目、样本表头配置。支持项目、样本、样本源、冻存架和冻存盒打印规则配置，自定义打印内容如条形码、logo 图片、二维码等信息。支持新建和复制样本类型，设置样本类型图标、默认容量、单位、保存天数、预警天数、冻融次数、自定义字段等基本信息。支持创建不同项目类型，维护不同项目类型字段。支持创建不同字段分类，维护不同格式如数字、文本、文本区域、日期、图片、文件、超大附件、下拉单选、下拉多选、超链接及引用信息。在系统内置字段字典，便于录入数据通过下拉选择的方式进行选择，节省录入时间。支持多级字典。系统内置编码规则，如</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 xml:space="preserve">有其他编码规则可进行编辑。支持按照不同项目设置不同的编码规则。支持新建和复制样本源类型，维护不同样本源类型字段。 </w:t>
            </w:r>
          </w:p>
          <w:p w14:paraId="0F2B9A7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．硬件配置：服务器一套（8位机盘）/键盘鼠标/含显示器，42U机柜，终端一台，配置不低于i7/16G RAM/256G SSD+1T/Win10企业版/键盘鼠标/显示器，扫码枪一个</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原厂说明书一份。</w:t>
            </w:r>
            <w:r>
              <w:rPr>
                <w:rFonts w:hint="eastAsia" w:ascii="宋体" w:hAnsi="宋体" w:eastAsia="宋体" w:cs="宋体"/>
                <w:color w:val="auto"/>
                <w:sz w:val="24"/>
                <w:szCs w:val="24"/>
                <w:highlight w:val="none"/>
              </w:rPr>
              <w:t>。</w:t>
            </w:r>
          </w:p>
        </w:tc>
      </w:tr>
      <w:tr w14:paraId="7BED72B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29DB092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840" w:type="dxa"/>
            <w:tcBorders>
              <w:top w:val="nil"/>
              <w:left w:val="nil"/>
              <w:bottom w:val="single" w:color="auto" w:sz="4" w:space="0"/>
              <w:right w:val="single" w:color="auto" w:sz="4" w:space="0"/>
            </w:tcBorders>
            <w:noWrap w:val="0"/>
            <w:vAlign w:val="center"/>
          </w:tcPr>
          <w:p w14:paraId="654405A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5G-IOT运维管理平台</w:t>
            </w:r>
          </w:p>
        </w:tc>
        <w:tc>
          <w:tcPr>
            <w:tcW w:w="570" w:type="dxa"/>
            <w:tcBorders>
              <w:top w:val="nil"/>
              <w:left w:val="nil"/>
              <w:bottom w:val="single" w:color="auto" w:sz="4" w:space="0"/>
              <w:right w:val="single" w:color="auto" w:sz="4" w:space="0"/>
            </w:tcBorders>
            <w:noWrap/>
            <w:vAlign w:val="center"/>
          </w:tcPr>
          <w:p w14:paraId="650DA4E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2D0045D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19.00 </w:t>
            </w:r>
          </w:p>
        </w:tc>
        <w:tc>
          <w:tcPr>
            <w:tcW w:w="6276" w:type="dxa"/>
            <w:tcBorders>
              <w:top w:val="single" w:color="auto" w:sz="4" w:space="0"/>
              <w:left w:val="nil"/>
              <w:bottom w:val="single" w:color="auto" w:sz="4" w:space="0"/>
            </w:tcBorders>
            <w:noWrap w:val="0"/>
            <w:vAlign w:val="top"/>
          </w:tcPr>
          <w:p w14:paraId="75E2020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1.平台支持主流操作系统环境，包括 Windows Server 2008、Windows Server 2012、Linux 等主流操作系统。系统软件必须是正版标准软件，并在原厂的服务支持周期内，无版权纠纷。</w:t>
            </w:r>
          </w:p>
          <w:p w14:paraId="774B0D8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2.平台24小时不间断工作，用于运行温湿度监控系统主程序并保存采集到的温湿度数据。 </w:t>
            </w:r>
          </w:p>
          <w:p w14:paraId="05B52B3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3.平台采用 B\S架构进行软件部署，使用至少三层以上的结构。平台架构要求具备开放性，提供完整规范的开发接口，能够满足主流平台和跨平台快速应用开发的需求。 </w:t>
            </w:r>
          </w:p>
          <w:p w14:paraId="4F53E63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平台支持iOS、安卓、微信小程序等移动平台，随时了解设备运行状态。平台满足数据库信创要求，支持国产化数据库。平台界面显示语言为中文，时间显示格式为24小时制，界面设计信息全面、人性化。通过主界面进入各个子界面。如测点监控界面、参数设置界面、趋势曲线界面、报警记录界面等。 </w:t>
            </w:r>
          </w:p>
          <w:p w14:paraId="7E9A0A9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5.断电或其他情况导致服务器重启后，软件可自动运行启动，无需人为干预。 </w:t>
            </w:r>
          </w:p>
          <w:p w14:paraId="75EB481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6.平台具备数据存储功能，支持动态扩展，可根据用户存储时长需求动态配置。数据库需支持自动备份，备份策略根据用户需求进行配置，并具备系统灾难恢复操作指导及相关备份程序，系统管理员可在系统崩溃时依次完成数据备份及还原工作、备份数据通过可移动介质至异地存储。因软件自身缺陷造成系统无法正常运行时，提供系统升级和相应的服务。 </w:t>
            </w:r>
          </w:p>
          <w:p w14:paraId="14965436">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7.设备系统化管理：包含设备隶属关系、设备权限、设备类型、设备编号、设备位置、设备名称等信息的集中管理。能够实时展示设备当前温湿度情况、运行状态和设备故障等信息。 </w:t>
            </w:r>
          </w:p>
          <w:p w14:paraId="33D2B0E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8.采集间隔设置：支持自定义正常采集频率和报警采集频率。参数设置界面，支持根据需要分别设定不同监测点的数据上传间隔，采集间隔支持1分钟到24小时，可单独设置超标后数据记录间隔。 </w:t>
            </w:r>
          </w:p>
          <w:p w14:paraId="1030E95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9.更换冷链采集：支持随时对监测的冷链设备进行更换和新增，并保留被更换设备的历史数据。冷链采集克隆：平台具备采集克隆功能，通过生成克隆采集释放正常采集，</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 xml:space="preserve">实现模块绑定多个设备后的数据按照不同设备单独管理和存档。 </w:t>
            </w:r>
          </w:p>
          <w:p w14:paraId="0A7C440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10.兼容多种接口形式和协议，</w:t>
            </w:r>
            <w:r>
              <w:rPr>
                <w:rFonts w:hint="eastAsia" w:ascii="宋体" w:hAnsi="宋体" w:eastAsia="宋体" w:cs="宋体"/>
                <w:color w:val="auto"/>
                <w:sz w:val="24"/>
                <w:szCs w:val="24"/>
                <w:highlight w:val="none"/>
                <w:lang w:val="en-US" w:eastAsia="zh-CN"/>
              </w:rPr>
              <w:t>能</w:t>
            </w:r>
            <w:r>
              <w:rPr>
                <w:rFonts w:hint="eastAsia" w:ascii="宋体" w:hAnsi="宋体" w:eastAsia="宋体" w:cs="宋体"/>
                <w:color w:val="auto"/>
                <w:sz w:val="24"/>
                <w:szCs w:val="24"/>
                <w:highlight w:val="none"/>
              </w:rPr>
              <w:t xml:space="preserve">获取设备开放的所有数据和故障信息/实现远程下发指令实现设备远程控制。实现一对多管理，一台边缘网关可根据需求同时监控多台设备，降低成本。 </w:t>
            </w:r>
          </w:p>
          <w:p w14:paraId="14F4D8E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11.系统支持数据统计分析功能，</w:t>
            </w:r>
            <w:r>
              <w:rPr>
                <w:rFonts w:hint="eastAsia" w:ascii="宋体" w:hAnsi="宋体" w:eastAsia="宋体" w:cs="宋体"/>
                <w:color w:val="auto"/>
                <w:sz w:val="24"/>
                <w:szCs w:val="24"/>
                <w:highlight w:val="none"/>
                <w:lang w:val="en-US" w:eastAsia="zh-CN"/>
              </w:rPr>
              <w:t>实现</w:t>
            </w:r>
            <w:r>
              <w:rPr>
                <w:rFonts w:hint="eastAsia" w:ascii="宋体" w:hAnsi="宋体" w:eastAsia="宋体" w:cs="宋体"/>
                <w:color w:val="auto"/>
                <w:sz w:val="24"/>
                <w:szCs w:val="24"/>
                <w:highlight w:val="none"/>
              </w:rPr>
              <w:t>选定某时间段内测点进行记录数据分析，至少包含最大值、最小值和平均值，方便从不同角度分析设备运行状态。平台</w:t>
            </w:r>
            <w:r>
              <w:rPr>
                <w:rFonts w:hint="eastAsia" w:ascii="宋体" w:hAnsi="宋体" w:eastAsia="宋体" w:cs="宋体"/>
                <w:color w:val="auto"/>
                <w:sz w:val="24"/>
                <w:szCs w:val="24"/>
                <w:highlight w:val="none"/>
                <w:lang w:val="en-US" w:eastAsia="zh-CN"/>
              </w:rPr>
              <w:t>具备</w:t>
            </w:r>
            <w:r>
              <w:rPr>
                <w:rFonts w:hint="eastAsia" w:ascii="宋体" w:hAnsi="宋体" w:eastAsia="宋体" w:cs="宋体"/>
                <w:color w:val="auto"/>
                <w:sz w:val="24"/>
                <w:szCs w:val="24"/>
                <w:highlight w:val="none"/>
              </w:rPr>
              <w:t xml:space="preserve">汇总多条曲线在同一张图表上，以方便后期数据的查看以及对比。大屏展示：平台支持通过大屏汇总展示设备运行状态和监控，实现整体管理。 </w:t>
            </w:r>
          </w:p>
          <w:p w14:paraId="50E3CBD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12.平台支持自定义超限报警持续时间：如超限时间不满足持续时间要求，则不产生报警记录，减少临时开门等情况导致的短暂超温对用户的打扰，保证用户接收到的报警通知的重要性。平台支持多种报警策略。 </w:t>
            </w:r>
          </w:p>
          <w:p w14:paraId="3668113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13.平台支持将全部设备历史数据导出至 Excel 或 PDF 文档中，也可导出设备运行曲线。平台支持按照管理要求导出整点数据（整点时间可自定义），文件格式支持 Excel 和 PDF。平台支持按设备单独生成设备运行 PDF 报告，</w:t>
            </w:r>
            <w:r>
              <w:rPr>
                <w:rFonts w:hint="eastAsia" w:ascii="宋体" w:hAnsi="宋体" w:eastAsia="宋体" w:cs="宋体"/>
                <w:color w:val="auto"/>
                <w:sz w:val="24"/>
                <w:szCs w:val="24"/>
                <w:highlight w:val="none"/>
                <w:lang w:val="en-US" w:eastAsia="zh-CN"/>
              </w:rPr>
              <w:t>实现</w:t>
            </w:r>
            <w:r>
              <w:rPr>
                <w:rFonts w:hint="eastAsia" w:ascii="宋体" w:hAnsi="宋体" w:eastAsia="宋体" w:cs="宋体"/>
                <w:color w:val="auto"/>
                <w:sz w:val="24"/>
                <w:szCs w:val="24"/>
                <w:highlight w:val="none"/>
              </w:rPr>
              <w:t xml:space="preserve">记录设备基础信息、数据数量、最大值、最小值、平均值、MKT 温度、报警次数、报警持续时间、详细数据记录、报警记录等信息。 </w:t>
            </w:r>
          </w:p>
          <w:p w14:paraId="6802609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★14．硬件配置标配网络模块，兼容4G/Wi-Fi，标配温湿度/氧浓度传感器2套，40英寸显示大屏1套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提供设备原厂说明书一份</w:t>
            </w:r>
            <w:r>
              <w:rPr>
                <w:rFonts w:hint="eastAsia" w:ascii="宋体" w:hAnsi="宋体" w:eastAsia="宋体" w:cs="宋体"/>
                <w:color w:val="auto"/>
                <w:sz w:val="24"/>
                <w:szCs w:val="24"/>
                <w:highlight w:val="none"/>
              </w:rPr>
              <w:t>。</w:t>
            </w:r>
          </w:p>
          <w:p w14:paraId="336C997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15.具备审计追踪。 </w:t>
            </w:r>
          </w:p>
        </w:tc>
      </w:tr>
      <w:tr w14:paraId="000A16C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2B92BE9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840" w:type="dxa"/>
            <w:tcBorders>
              <w:top w:val="nil"/>
              <w:left w:val="nil"/>
              <w:bottom w:val="single" w:color="auto" w:sz="4" w:space="0"/>
              <w:right w:val="single" w:color="auto" w:sz="4" w:space="0"/>
            </w:tcBorders>
            <w:noWrap w:val="0"/>
            <w:vAlign w:val="center"/>
          </w:tcPr>
          <w:p w14:paraId="02D8390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红细胞处理系统</w:t>
            </w:r>
          </w:p>
        </w:tc>
        <w:tc>
          <w:tcPr>
            <w:tcW w:w="570" w:type="dxa"/>
            <w:tcBorders>
              <w:top w:val="nil"/>
              <w:left w:val="nil"/>
              <w:bottom w:val="single" w:color="auto" w:sz="4" w:space="0"/>
              <w:right w:val="single" w:color="auto" w:sz="4" w:space="0"/>
            </w:tcBorders>
            <w:noWrap/>
            <w:vAlign w:val="center"/>
          </w:tcPr>
          <w:p w14:paraId="5731F27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02A9624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61.75 </w:t>
            </w:r>
          </w:p>
        </w:tc>
        <w:tc>
          <w:tcPr>
            <w:tcW w:w="6276" w:type="dxa"/>
            <w:tcBorders>
              <w:top w:val="single" w:color="auto" w:sz="4" w:space="0"/>
              <w:left w:val="nil"/>
              <w:bottom w:val="single" w:color="auto" w:sz="4" w:space="0"/>
            </w:tcBorders>
            <w:noWrap w:val="0"/>
            <w:vAlign w:val="top"/>
          </w:tcPr>
          <w:p w14:paraId="64687F1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 配合配套耗材，完成 1U、1.5U、2U 新鲜红细胞洗涤程序;配合配套耗材和专用药剂，完成 1U、1.5U、2U 红细胞加甘油程序；配合配套耗材，完成 1U、1.5U、2U 冰冻红细胞去甘油化洗涤程序。多种程序可选，无需更换程序模块；</w:t>
            </w:r>
          </w:p>
          <w:p w14:paraId="5EF2BFA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 实现洗涤过程中所有制备数据的数据传输、统计、追溯和打印;</w:t>
            </w:r>
          </w:p>
          <w:p w14:paraId="536E0BD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 360°静音旋转式摇摆，柔性摇床或自动水平摇床，确保洗涤更均匀充分；</w:t>
            </w:r>
          </w:p>
          <w:p w14:paraId="07AB2D7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 洗涤时对红细胞的离心力≥1270</w:t>
            </w:r>
            <w:r>
              <w:rPr>
                <w:rFonts w:hint="eastAsia" w:ascii="宋体" w:hAnsi="宋体" w:eastAsia="宋体" w:cs="宋体"/>
                <w:color w:val="auto"/>
                <w:sz w:val="24"/>
                <w:szCs w:val="24"/>
                <w:highlight w:val="none"/>
                <w:lang w:val="en-US" w:eastAsia="zh-CN"/>
              </w:rPr>
              <w:t>X</w:t>
            </w:r>
            <w:r>
              <w:rPr>
                <w:rFonts w:hint="eastAsia" w:ascii="宋体" w:hAnsi="宋体" w:eastAsia="宋体" w:cs="宋体"/>
                <w:color w:val="auto"/>
                <w:sz w:val="24"/>
                <w:szCs w:val="24"/>
                <w:highlight w:val="none"/>
                <w:lang w:eastAsia="zh-CN"/>
              </w:rPr>
              <w:t>g</w:t>
            </w:r>
            <w:r>
              <w:rPr>
                <w:rFonts w:hint="eastAsia" w:ascii="宋体" w:hAnsi="宋体" w:eastAsia="宋体" w:cs="宋体"/>
                <w:color w:val="auto"/>
                <w:sz w:val="24"/>
                <w:szCs w:val="24"/>
                <w:highlight w:val="none"/>
              </w:rPr>
              <w:t>；</w:t>
            </w:r>
          </w:p>
          <w:p w14:paraId="50136CD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5. </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根据实际情况设置制备程序，程序设定完成后能自动运行;</w:t>
            </w:r>
          </w:p>
          <w:p w14:paraId="74D0591E">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 清洗泵速度：4r/min～200r/min;转移泵速度：4r/min～200r/min;</w:t>
            </w:r>
          </w:p>
          <w:p w14:paraId="1761CB8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 去甘油化指标：红细胞回收率≥80%，游离血红蛋白≤1g/升，甘油残留量≤10g/升；</w:t>
            </w:r>
          </w:p>
          <w:p w14:paraId="4CB69F1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8. </w:t>
            </w:r>
            <w:r>
              <w:rPr>
                <w:rFonts w:hint="eastAsia" w:ascii="宋体" w:hAnsi="宋体" w:eastAsia="宋体" w:cs="宋体"/>
                <w:color w:val="auto"/>
                <w:sz w:val="24"/>
                <w:szCs w:val="24"/>
                <w:highlight w:val="none"/>
                <w:lang w:val="en-US" w:eastAsia="zh-CN"/>
              </w:rPr>
              <w:t>在</w:t>
            </w:r>
            <w:r>
              <w:rPr>
                <w:rFonts w:hint="eastAsia" w:ascii="宋体" w:hAnsi="宋体" w:eastAsia="宋体" w:cs="宋体"/>
                <w:color w:val="auto"/>
                <w:sz w:val="24"/>
                <w:szCs w:val="24"/>
                <w:highlight w:val="none"/>
              </w:rPr>
              <w:t>环境温度10</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～30</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相对湿度≤70%</w:t>
            </w:r>
            <w:r>
              <w:rPr>
                <w:rFonts w:hint="eastAsia" w:ascii="宋体" w:hAnsi="宋体" w:eastAsia="宋体" w:cs="宋体"/>
                <w:color w:val="auto"/>
                <w:sz w:val="24"/>
                <w:szCs w:val="24"/>
                <w:highlight w:val="none"/>
                <w:lang w:val="en-US" w:eastAsia="zh-CN"/>
              </w:rPr>
              <w:t>条件下工作</w:t>
            </w:r>
            <w:r>
              <w:rPr>
                <w:rFonts w:hint="eastAsia" w:ascii="宋体" w:hAnsi="宋体" w:eastAsia="宋体" w:cs="宋体"/>
                <w:color w:val="auto"/>
                <w:sz w:val="24"/>
                <w:szCs w:val="24"/>
                <w:highlight w:val="none"/>
              </w:rPr>
              <w:t xml:space="preserve">，无结露； </w:t>
            </w:r>
            <w:r>
              <w:rPr>
                <w:rFonts w:hint="eastAsia" w:ascii="宋体" w:hAnsi="宋体" w:eastAsia="宋体" w:cs="宋体"/>
                <w:color w:val="auto"/>
                <w:sz w:val="24"/>
                <w:szCs w:val="24"/>
                <w:highlight w:val="none"/>
                <w:lang w:val="en-US" w:eastAsia="zh-CN"/>
              </w:rPr>
              <w:t>在</w:t>
            </w:r>
            <w:r>
              <w:rPr>
                <w:rFonts w:hint="eastAsia" w:ascii="宋体" w:hAnsi="宋体" w:eastAsia="宋体" w:cs="宋体"/>
                <w:color w:val="auto"/>
                <w:sz w:val="24"/>
                <w:szCs w:val="24"/>
                <w:highlight w:val="none"/>
              </w:rPr>
              <w:t>大气压力86kpa～106kpa</w:t>
            </w:r>
            <w:r>
              <w:rPr>
                <w:rFonts w:hint="eastAsia" w:ascii="宋体" w:hAnsi="宋体" w:eastAsia="宋体" w:cs="宋体"/>
                <w:color w:val="auto"/>
                <w:sz w:val="24"/>
                <w:szCs w:val="24"/>
                <w:highlight w:val="none"/>
                <w:lang w:val="en-US" w:eastAsia="zh-CN"/>
              </w:rPr>
              <w:t>条件下工作，</w:t>
            </w:r>
            <w:r>
              <w:rPr>
                <w:rFonts w:hint="eastAsia" w:ascii="宋体" w:hAnsi="宋体" w:eastAsia="宋体" w:cs="宋体"/>
                <w:color w:val="auto"/>
                <w:sz w:val="24"/>
                <w:szCs w:val="24"/>
                <w:highlight w:val="none"/>
              </w:rPr>
              <w:t>无导电尘埃、爆炸性气体和腐蚀性气体；</w:t>
            </w:r>
          </w:p>
          <w:p w14:paraId="5D3215A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r>
              <w:rPr>
                <w:rFonts w:hint="eastAsia" w:ascii="宋体" w:hAnsi="宋体" w:eastAsia="宋体" w:cs="宋体"/>
                <w:color w:val="auto"/>
                <w:sz w:val="24"/>
                <w:szCs w:val="24"/>
                <w:highlight w:val="none"/>
                <w:lang w:val="en-US" w:eastAsia="zh-CN"/>
              </w:rPr>
              <w:t>在</w:t>
            </w:r>
            <w:r>
              <w:rPr>
                <w:rFonts w:hint="eastAsia" w:ascii="宋体" w:hAnsi="宋体" w:eastAsia="宋体" w:cs="宋体"/>
                <w:color w:val="auto"/>
                <w:sz w:val="24"/>
                <w:szCs w:val="24"/>
                <w:highlight w:val="none"/>
              </w:rPr>
              <w:t>环境温度-20ºc～55ºC，相对湿度≤90%</w:t>
            </w:r>
            <w:r>
              <w:rPr>
                <w:rFonts w:hint="eastAsia" w:ascii="宋体" w:hAnsi="宋体" w:eastAsia="宋体" w:cs="宋体"/>
                <w:color w:val="auto"/>
                <w:sz w:val="24"/>
                <w:szCs w:val="24"/>
                <w:highlight w:val="none"/>
                <w:lang w:val="en-US" w:eastAsia="zh-CN"/>
              </w:rPr>
              <w:t>的储存条件下</w:t>
            </w:r>
            <w:r>
              <w:rPr>
                <w:rFonts w:hint="eastAsia" w:ascii="宋体" w:hAnsi="宋体" w:eastAsia="宋体" w:cs="宋体"/>
                <w:color w:val="auto"/>
                <w:sz w:val="24"/>
                <w:szCs w:val="24"/>
                <w:highlight w:val="none"/>
              </w:rPr>
              <w:t>，无结露；</w:t>
            </w:r>
          </w:p>
          <w:p w14:paraId="4DB60598">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 使用电源：～220V±22V,50Hz±1Hz;</w:t>
            </w:r>
          </w:p>
          <w:p w14:paraId="013BE87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 输入功率：≤500W；</w:t>
            </w:r>
          </w:p>
          <w:p w14:paraId="6DD8288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 ≥10 英寸宽屏彩色中文触摸屏，可实时全屏显示运行状态; 语音操作提示、故障报警及错误信息提示;</w:t>
            </w:r>
          </w:p>
          <w:p w14:paraId="471DD0D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▲13. 中文软件监控系统,可实现多机联网； </w:t>
            </w:r>
          </w:p>
          <w:p w14:paraId="55EEF305">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eastAsia="zh-CN" w:bidi="ar"/>
              </w:rPr>
              <w:t>★</w:t>
            </w:r>
            <w:r>
              <w:rPr>
                <w:rFonts w:hint="eastAsia" w:ascii="宋体" w:hAnsi="宋体" w:eastAsia="宋体" w:cs="宋体"/>
                <w:color w:val="auto"/>
                <w:sz w:val="24"/>
                <w:szCs w:val="24"/>
                <w:highlight w:val="none"/>
                <w:lang w:val="en-US" w:eastAsia="zh-CN"/>
              </w:rPr>
              <w:t>14.交货时提供设备原厂说明书一份。</w:t>
            </w:r>
          </w:p>
        </w:tc>
      </w:tr>
      <w:tr w14:paraId="240311D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8" w:type="dxa"/>
            <w:bottom w:w="0" w:type="dxa"/>
            <w:right w:w="108" w:type="dxa"/>
          </w:tblCellMar>
        </w:tblPrEx>
        <w:trPr>
          <w:jc w:val="center"/>
        </w:trPr>
        <w:tc>
          <w:tcPr>
            <w:tcW w:w="607" w:type="dxa"/>
            <w:tcBorders>
              <w:top w:val="nil"/>
              <w:bottom w:val="single" w:color="auto" w:sz="4" w:space="0"/>
              <w:right w:val="single" w:color="auto" w:sz="4" w:space="0"/>
            </w:tcBorders>
            <w:noWrap/>
            <w:vAlign w:val="center"/>
          </w:tcPr>
          <w:p w14:paraId="21532A7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840" w:type="dxa"/>
            <w:tcBorders>
              <w:top w:val="nil"/>
              <w:left w:val="nil"/>
              <w:bottom w:val="single" w:color="auto" w:sz="4" w:space="0"/>
              <w:right w:val="single" w:color="auto" w:sz="4" w:space="0"/>
            </w:tcBorders>
            <w:noWrap w:val="0"/>
            <w:vAlign w:val="center"/>
          </w:tcPr>
          <w:p w14:paraId="65A0E92A">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无菌接管机</w:t>
            </w:r>
          </w:p>
        </w:tc>
        <w:tc>
          <w:tcPr>
            <w:tcW w:w="570" w:type="dxa"/>
            <w:tcBorders>
              <w:top w:val="nil"/>
              <w:left w:val="nil"/>
              <w:bottom w:val="single" w:color="auto" w:sz="4" w:space="0"/>
              <w:right w:val="single" w:color="auto" w:sz="4" w:space="0"/>
            </w:tcBorders>
            <w:noWrap/>
            <w:vAlign w:val="center"/>
          </w:tcPr>
          <w:p w14:paraId="40594F7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30" w:type="dxa"/>
            <w:tcBorders>
              <w:top w:val="nil"/>
              <w:left w:val="nil"/>
              <w:bottom w:val="single" w:color="auto" w:sz="4" w:space="0"/>
              <w:right w:val="single" w:color="auto" w:sz="4" w:space="0"/>
            </w:tcBorders>
            <w:noWrap w:val="0"/>
            <w:vAlign w:val="center"/>
          </w:tcPr>
          <w:p w14:paraId="1AEEFAD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21.85 </w:t>
            </w:r>
          </w:p>
        </w:tc>
        <w:tc>
          <w:tcPr>
            <w:tcW w:w="6276" w:type="dxa"/>
            <w:tcBorders>
              <w:top w:val="single" w:color="auto" w:sz="4" w:space="0"/>
              <w:left w:val="nil"/>
              <w:bottom w:val="single" w:color="auto" w:sz="4" w:space="0"/>
            </w:tcBorders>
            <w:noWrap w:val="0"/>
            <w:vAlign w:val="top"/>
          </w:tcPr>
          <w:p w14:paraId="37C79199">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1.功能要求:接管强度≥40N。</w:t>
            </w:r>
          </w:p>
          <w:p w14:paraId="03A72081">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2.焊接时间≤22</w:t>
            </w:r>
            <w:r>
              <w:rPr>
                <w:rFonts w:hint="eastAsia" w:ascii="宋体" w:hAnsi="宋体" w:eastAsia="宋体" w:cs="宋体"/>
                <w:color w:val="auto"/>
                <w:sz w:val="24"/>
                <w:szCs w:val="24"/>
                <w:highlight w:val="none"/>
                <w:lang w:val="en-US" w:eastAsia="zh-CN"/>
              </w:rPr>
              <w:t>秒</w:t>
            </w:r>
            <w:r>
              <w:rPr>
                <w:rFonts w:hint="eastAsia" w:ascii="宋体" w:hAnsi="宋体" w:eastAsia="宋体" w:cs="宋体"/>
                <w:color w:val="auto"/>
                <w:sz w:val="24"/>
                <w:szCs w:val="24"/>
                <w:highlight w:val="none"/>
              </w:rPr>
              <w:t>。</w:t>
            </w:r>
          </w:p>
          <w:p w14:paraId="4E4A942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3.管子规格内径≥2.7mm</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壁厚≥0.5mm</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外径≤5.0mm。</w:t>
            </w:r>
          </w:p>
          <w:p w14:paraId="5B5742B4">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eastAsia="zh-CN" w:bidi="ar"/>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血袋导管符合GB 14232.1-2020 的标准。</w:t>
            </w:r>
          </w:p>
          <w:p w14:paraId="3C149F3F">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.接管模式干-湿/干-干/湿-湿。</w:t>
            </w:r>
          </w:p>
          <w:p w14:paraId="004BBC22">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.接驳耗材RFID功能具备RFID功能。</w:t>
            </w:r>
          </w:p>
          <w:p w14:paraId="7966B830">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.液晶屏≥10英寸彩色屏。</w:t>
            </w:r>
          </w:p>
          <w:p w14:paraId="32D7D9B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.数据收集、储存、分析和输出单机可直接实现数据收集、储存、分析和输出。</w:t>
            </w:r>
          </w:p>
          <w:p w14:paraId="48700FFB">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.自动复位功能自动开始和自动复位，设备使用中：关闭上盖接驳自动开始；打开上盖，设备自动复位。</w:t>
            </w:r>
          </w:p>
          <w:p w14:paraId="35D188FD">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eastAsia="zh-CN" w:bidi="ar"/>
              </w:rPr>
              <w:t>★</w:t>
            </w:r>
            <w:r>
              <w:rPr>
                <w:rFonts w:hint="eastAsia" w:ascii="宋体" w:hAnsi="宋体" w:eastAsia="宋体" w:cs="宋体"/>
                <w:color w:val="auto"/>
                <w:sz w:val="24"/>
                <w:szCs w:val="24"/>
                <w:highlight w:val="none"/>
                <w:lang w:val="en-US" w:eastAsia="zh-CN"/>
              </w:rPr>
              <w:t>10.交货时提供设备原厂说明书一份。</w:t>
            </w:r>
          </w:p>
        </w:tc>
      </w:tr>
    </w:tbl>
    <w:p w14:paraId="47239777">
      <w:pPr>
        <w:keepNext w:val="0"/>
        <w:keepLines w:val="0"/>
        <w:pageBreakBefore w:val="0"/>
        <w:widowControl w:val="0"/>
        <w:numPr>
          <w:ilvl w:val="0"/>
          <w:numId w:val="0"/>
        </w:numPr>
        <w:kinsoku/>
        <w:wordWrap/>
        <w:overflowPunct/>
        <w:topLinePunct w:val="0"/>
        <w:bidi w:val="0"/>
        <w:adjustRightInd w:val="0"/>
        <w:snapToGrid w:val="0"/>
        <w:spacing w:beforeAutospacing="0" w:afterAutospacing="0" w:line="360" w:lineRule="auto"/>
        <w:ind w:left="0" w:leftChars="0" w:right="0" w:rightChars="0"/>
        <w:textAlignment w:val="auto"/>
        <w:outlineLvl w:val="1"/>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注：★1.若所投产品涉及CCC强制认证、进网许可证或设备型号核准证、网络关键设备和网络安全专用产品等相关认证或许可证书的，在响应文件中可不提供相关证书(招标文件另有要求的除外)，可提供承诺函（格式自拟）；投标人应当在签订采购合同前提供至采购人，未提供或不能提供的视为虚假响应。（提供承诺函）</w:t>
      </w:r>
    </w:p>
    <w:p w14:paraId="328B1C72">
      <w:pPr>
        <w:keepNext w:val="0"/>
        <w:keepLines w:val="0"/>
        <w:pageBreakBefore w:val="0"/>
        <w:widowControl w:val="0"/>
        <w:numPr>
          <w:ilvl w:val="0"/>
          <w:numId w:val="0"/>
        </w:numPr>
        <w:kinsoku/>
        <w:wordWrap/>
        <w:overflowPunct/>
        <w:topLinePunct w:val="0"/>
        <w:bidi w:val="0"/>
        <w:adjustRightInd w:val="0"/>
        <w:snapToGrid w:val="0"/>
        <w:spacing w:beforeAutospacing="0" w:afterAutospacing="0" w:line="360" w:lineRule="auto"/>
        <w:ind w:left="0" w:leftChars="0" w:right="0" w:rightChars="0"/>
        <w:textAlignment w:val="auto"/>
        <w:outlineLvl w:val="1"/>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2.本项目属于强制节能产品：库管理系统</w:t>
      </w:r>
      <w:r>
        <w:rPr>
          <w:rFonts w:hint="eastAsia" w:ascii="宋体" w:hAnsi="宋体" w:eastAsia="宋体" w:cs="宋体"/>
          <w:b/>
          <w:bCs w:val="0"/>
          <w:color w:val="auto"/>
          <w:sz w:val="24"/>
          <w:szCs w:val="24"/>
          <w:highlight w:val="none"/>
          <w:lang w:val="en-US" w:eastAsia="zh-CN"/>
        </w:rPr>
        <w:t>的服务器、5G-IOT运维管理平台的40英寸显示大屏</w:t>
      </w:r>
      <w:r>
        <w:rPr>
          <w:rFonts w:hint="eastAsia" w:ascii="宋体" w:hAnsi="宋体" w:eastAsia="宋体" w:cs="宋体"/>
          <w:b/>
          <w:bCs w:val="0"/>
          <w:color w:val="auto"/>
          <w:sz w:val="24"/>
          <w:szCs w:val="24"/>
          <w:highlight w:val="none"/>
          <w:lang w:eastAsia="zh-CN"/>
        </w:rPr>
        <w:t>；本项目属于节能产品：无；本项目属于环境标志产品：库管理系统</w:t>
      </w:r>
      <w:r>
        <w:rPr>
          <w:rFonts w:hint="eastAsia" w:ascii="宋体" w:hAnsi="宋体" w:eastAsia="宋体" w:cs="宋体"/>
          <w:b/>
          <w:bCs w:val="0"/>
          <w:color w:val="auto"/>
          <w:sz w:val="24"/>
          <w:szCs w:val="24"/>
          <w:highlight w:val="none"/>
          <w:lang w:val="en-US" w:eastAsia="zh-CN"/>
        </w:rPr>
        <w:t>的服务器、5G-IOT运维管理平台的40英寸显示大屏</w:t>
      </w:r>
      <w:r>
        <w:rPr>
          <w:rFonts w:hint="eastAsia" w:ascii="宋体" w:hAnsi="宋体" w:eastAsia="宋体" w:cs="宋体"/>
          <w:b/>
          <w:bCs w:val="0"/>
          <w:color w:val="auto"/>
          <w:sz w:val="24"/>
          <w:szCs w:val="24"/>
          <w:highlight w:val="none"/>
          <w:lang w:eastAsia="zh-CN"/>
        </w:rPr>
        <w:t>。</w:t>
      </w:r>
    </w:p>
    <w:p w14:paraId="5CEA2867">
      <w:pPr>
        <w:keepNext w:val="0"/>
        <w:keepLines w:val="0"/>
        <w:pageBreakBefore w:val="0"/>
        <w:widowControl w:val="0"/>
        <w:numPr>
          <w:ilvl w:val="0"/>
          <w:numId w:val="0"/>
        </w:numPr>
        <w:kinsoku/>
        <w:wordWrap/>
        <w:overflowPunct/>
        <w:topLinePunct w:val="0"/>
        <w:bidi w:val="0"/>
        <w:adjustRightInd w:val="0"/>
        <w:snapToGrid w:val="0"/>
        <w:spacing w:beforeAutospacing="0" w:afterAutospacing="0" w:line="360" w:lineRule="auto"/>
        <w:ind w:left="0" w:leftChars="0" w:right="0" w:rightChars="0"/>
        <w:textAlignment w:val="auto"/>
        <w:outlineLvl w:val="1"/>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3.本项目核心产品为：全自动超低温生物样本存储系统。</w:t>
      </w:r>
    </w:p>
    <w:p w14:paraId="6990D2F2">
      <w:pPr>
        <w:keepNext w:val="0"/>
        <w:keepLines w:val="0"/>
        <w:pageBreakBefore w:val="0"/>
        <w:widowControl w:val="0"/>
        <w:numPr>
          <w:ilvl w:val="0"/>
          <w:numId w:val="0"/>
        </w:numPr>
        <w:kinsoku/>
        <w:wordWrap/>
        <w:overflowPunct/>
        <w:topLinePunct w:val="0"/>
        <w:bidi w:val="0"/>
        <w:adjustRightInd w:val="0"/>
        <w:snapToGrid w:val="0"/>
        <w:spacing w:beforeAutospacing="0" w:afterAutospacing="0" w:line="360" w:lineRule="auto"/>
        <w:ind w:left="0" w:leftChars="0" w:right="0" w:rightChars="0"/>
        <w:textAlignment w:val="auto"/>
        <w:outlineLvl w:val="1"/>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eastAsia="zh-CN"/>
        </w:rPr>
        <w:t>★</w:t>
      </w:r>
      <w:r>
        <w:rPr>
          <w:rFonts w:hint="eastAsia" w:ascii="宋体" w:hAnsi="宋体" w:eastAsia="宋体" w:cs="宋体"/>
          <w:b/>
          <w:bCs w:val="0"/>
          <w:color w:val="auto"/>
          <w:sz w:val="24"/>
          <w:szCs w:val="24"/>
          <w:highlight w:val="none"/>
          <w:lang w:val="en-US" w:eastAsia="zh-CN"/>
        </w:rPr>
        <w:t>4.投标人所投的整套系统符合三级等保的要求，配合采购人完成三级等保测评。(提供承诺函)。</w:t>
      </w:r>
    </w:p>
    <w:p w14:paraId="1AB7485D">
      <w:pPr>
        <w:keepNext w:val="0"/>
        <w:keepLines w:val="0"/>
        <w:pageBreakBefore w:val="0"/>
        <w:widowControl w:val="0"/>
        <w:numPr>
          <w:ilvl w:val="0"/>
          <w:numId w:val="0"/>
        </w:numPr>
        <w:kinsoku/>
        <w:wordWrap/>
        <w:overflowPunct/>
        <w:topLinePunct w:val="0"/>
        <w:bidi w:val="0"/>
        <w:adjustRightInd w:val="0"/>
        <w:snapToGrid w:val="0"/>
        <w:spacing w:beforeAutospacing="0" w:afterAutospacing="0" w:line="360" w:lineRule="auto"/>
        <w:ind w:left="0" w:leftChars="0" w:right="0" w:rightChars="0"/>
        <w:textAlignment w:val="auto"/>
        <w:outlineLvl w:val="1"/>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val="en-US" w:eastAsia="zh-CN"/>
        </w:rPr>
        <w:t>5.以上带</w:t>
      </w:r>
      <w:r>
        <w:rPr>
          <w:rFonts w:hint="eastAsia" w:ascii="宋体" w:hAnsi="宋体" w:eastAsia="宋体" w:cs="宋体"/>
          <w:b/>
          <w:bCs w:val="0"/>
          <w:color w:val="auto"/>
          <w:sz w:val="24"/>
          <w:szCs w:val="24"/>
          <w:highlight w:val="none"/>
          <w:lang w:eastAsia="zh-CN"/>
        </w:rPr>
        <w:t>“★”</w:t>
      </w:r>
      <w:r>
        <w:rPr>
          <w:rFonts w:hint="eastAsia" w:ascii="宋体" w:hAnsi="宋体" w:eastAsia="宋体" w:cs="宋体"/>
          <w:b/>
          <w:bCs w:val="0"/>
          <w:color w:val="auto"/>
          <w:sz w:val="24"/>
          <w:szCs w:val="24"/>
          <w:highlight w:val="none"/>
          <w:lang w:val="en-US" w:eastAsia="zh-CN"/>
        </w:rPr>
        <w:t>为实质性要求，不满足做无效投标；以上带“</w:t>
      </w:r>
      <w:r>
        <w:rPr>
          <w:rFonts w:hint="eastAsia" w:ascii="宋体" w:hAnsi="宋体" w:eastAsia="宋体" w:cs="宋体"/>
          <w:b/>
          <w:bCs w:val="0"/>
          <w:color w:val="auto"/>
          <w:sz w:val="24"/>
          <w:szCs w:val="24"/>
          <w:highlight w:val="none"/>
          <w:lang w:eastAsia="zh-CN"/>
        </w:rPr>
        <w:t>▲</w:t>
      </w:r>
      <w:r>
        <w:rPr>
          <w:rFonts w:hint="eastAsia" w:ascii="宋体" w:hAnsi="宋体" w:eastAsia="宋体" w:cs="宋体"/>
          <w:b/>
          <w:bCs w:val="0"/>
          <w:color w:val="auto"/>
          <w:sz w:val="24"/>
          <w:szCs w:val="24"/>
          <w:highlight w:val="none"/>
          <w:lang w:val="en-US" w:eastAsia="zh-CN"/>
        </w:rPr>
        <w:t>为重要参数，不满足扣除相应分值。</w:t>
      </w:r>
    </w:p>
    <w:p w14:paraId="43FF5C36">
      <w:pPr>
        <w:keepNext w:val="0"/>
        <w:keepLines w:val="0"/>
        <w:pageBreakBefore w:val="0"/>
        <w:widowControl w:val="0"/>
        <w:numPr>
          <w:ilvl w:val="0"/>
          <w:numId w:val="0"/>
        </w:numPr>
        <w:kinsoku/>
        <w:wordWrap/>
        <w:overflowPunct/>
        <w:topLinePunct w:val="0"/>
        <w:bidi w:val="0"/>
        <w:adjustRightInd w:val="0"/>
        <w:snapToGrid w:val="0"/>
        <w:spacing w:beforeAutospacing="0" w:afterAutospacing="0" w:line="360" w:lineRule="auto"/>
        <w:ind w:left="0" w:leftChars="0" w:right="0" w:rightChars="0"/>
        <w:textAlignment w:val="auto"/>
        <w:outlineLvl w:val="1"/>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三、商务要求</w:t>
      </w:r>
    </w:p>
    <w:p w14:paraId="38E70E30">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1、交货时间（实质性要求）</w:t>
      </w:r>
    </w:p>
    <w:p w14:paraId="2D2958A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Hans"/>
        </w:rPr>
      </w:pPr>
      <w:r>
        <w:rPr>
          <w:rFonts w:hint="eastAsia" w:ascii="宋体" w:hAnsi="宋体" w:eastAsia="宋体" w:cs="宋体"/>
          <w:bCs/>
          <w:color w:val="auto"/>
          <w:sz w:val="24"/>
          <w:szCs w:val="24"/>
          <w:highlight w:val="none"/>
          <w:lang w:eastAsia="zh-CN"/>
        </w:rPr>
        <w:t>合同签订后6个月内完成供货并通过验收</w:t>
      </w:r>
      <w:r>
        <w:rPr>
          <w:rFonts w:hint="eastAsia" w:ascii="宋体" w:hAnsi="宋体" w:eastAsia="宋体" w:cs="宋体"/>
          <w:bCs/>
          <w:color w:val="auto"/>
          <w:sz w:val="24"/>
          <w:szCs w:val="24"/>
          <w:highlight w:val="none"/>
          <w:lang w:eastAsia="zh-Hans"/>
        </w:rPr>
        <w:t xml:space="preserve"> (确因不可预见因素的情况除外，双方另行协商)。</w:t>
      </w:r>
    </w:p>
    <w:p w14:paraId="28D14B6A">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2、交货地点（实质性要求）</w:t>
      </w:r>
    </w:p>
    <w:p w14:paraId="2854982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四川省，采购人指定地点。</w:t>
      </w:r>
    </w:p>
    <w:p w14:paraId="7E6C3377">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3、付款条件及进度（实质性要求）</w:t>
      </w:r>
    </w:p>
    <w:p w14:paraId="5373BB5A">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i w:val="0"/>
          <w:iCs w:val="0"/>
          <w:caps w:val="0"/>
          <w:color w:val="auto"/>
          <w:spacing w:val="0"/>
          <w:sz w:val="24"/>
          <w:szCs w:val="24"/>
          <w:highlight w:val="none"/>
          <w:shd w:val="clear"/>
        </w:rPr>
      </w:pPr>
      <w:r>
        <w:rPr>
          <w:rFonts w:hint="eastAsia" w:ascii="宋体" w:hAnsi="宋体" w:eastAsia="宋体" w:cs="宋体"/>
          <w:bCs/>
          <w:i w:val="0"/>
          <w:iCs w:val="0"/>
          <w:caps w:val="0"/>
          <w:color w:val="auto"/>
          <w:spacing w:val="0"/>
          <w:sz w:val="24"/>
          <w:szCs w:val="24"/>
          <w:highlight w:val="none"/>
          <w:shd w:val="clear" w:fill="auto"/>
        </w:rPr>
        <w:t>合同签订后收到投标人开具的等额增值税专用发票支付45%预付款，交货完毕通过验收且收到投标人开具的等额增值税专用发票后支付5</w:t>
      </w:r>
      <w:r>
        <w:rPr>
          <w:rFonts w:hint="eastAsia" w:hAnsi="宋体" w:cs="宋体"/>
          <w:bCs/>
          <w:i w:val="0"/>
          <w:iCs w:val="0"/>
          <w:caps w:val="0"/>
          <w:color w:val="auto"/>
          <w:spacing w:val="0"/>
          <w:sz w:val="24"/>
          <w:szCs w:val="24"/>
          <w:highlight w:val="none"/>
          <w:shd w:val="clear"/>
          <w:lang w:eastAsia="zh-CN"/>
        </w:rPr>
        <w:t>2</w:t>
      </w:r>
      <w:r>
        <w:rPr>
          <w:rFonts w:hint="eastAsia" w:ascii="宋体" w:hAnsi="宋体" w:eastAsia="宋体" w:cs="宋体"/>
          <w:bCs/>
          <w:i w:val="0"/>
          <w:iCs w:val="0"/>
          <w:caps w:val="0"/>
          <w:color w:val="auto"/>
          <w:spacing w:val="0"/>
          <w:sz w:val="24"/>
          <w:szCs w:val="24"/>
          <w:highlight w:val="none"/>
          <w:shd w:val="clear" w:fill="auto"/>
        </w:rPr>
        <w:t>%款项，培训完成</w:t>
      </w:r>
      <w:r>
        <w:rPr>
          <w:rFonts w:hint="eastAsia" w:hAnsi="宋体" w:cs="宋体"/>
          <w:bCs/>
          <w:i w:val="0"/>
          <w:iCs w:val="0"/>
          <w:caps w:val="0"/>
          <w:color w:val="auto"/>
          <w:spacing w:val="0"/>
          <w:sz w:val="24"/>
          <w:szCs w:val="24"/>
          <w:highlight w:val="none"/>
          <w:shd w:val="clear"/>
          <w:lang w:val="en-US" w:eastAsia="zh-CN"/>
        </w:rPr>
        <w:t>且正常运行30日历天，并</w:t>
      </w:r>
      <w:r>
        <w:rPr>
          <w:rFonts w:hint="eastAsia" w:ascii="宋体" w:hAnsi="宋体" w:eastAsia="宋体" w:cs="宋体"/>
          <w:bCs/>
          <w:i w:val="0"/>
          <w:iCs w:val="0"/>
          <w:caps w:val="0"/>
          <w:color w:val="auto"/>
          <w:spacing w:val="0"/>
          <w:sz w:val="24"/>
          <w:szCs w:val="24"/>
          <w:highlight w:val="none"/>
          <w:shd w:val="clear" w:fill="auto"/>
        </w:rPr>
        <w:t>收到投标人开具的等额增值税专用发票后支付剩余合同金额</w:t>
      </w:r>
      <w:r>
        <w:rPr>
          <w:rFonts w:hint="eastAsia" w:hAnsi="宋体" w:cs="宋体"/>
          <w:bCs/>
          <w:i w:val="0"/>
          <w:iCs w:val="0"/>
          <w:caps w:val="0"/>
          <w:color w:val="auto"/>
          <w:spacing w:val="0"/>
          <w:sz w:val="24"/>
          <w:szCs w:val="24"/>
          <w:highlight w:val="none"/>
          <w:shd w:val="clear"/>
          <w:lang w:eastAsia="zh-CN"/>
        </w:rPr>
        <w:t>3</w:t>
      </w:r>
      <w:r>
        <w:rPr>
          <w:rFonts w:hint="eastAsia" w:ascii="宋体" w:hAnsi="宋体" w:eastAsia="宋体" w:cs="宋体"/>
          <w:bCs/>
          <w:i w:val="0"/>
          <w:iCs w:val="0"/>
          <w:caps w:val="0"/>
          <w:color w:val="auto"/>
          <w:spacing w:val="0"/>
          <w:sz w:val="24"/>
          <w:szCs w:val="24"/>
          <w:highlight w:val="none"/>
          <w:shd w:val="clear" w:fill="auto"/>
        </w:rPr>
        <w:t>%。</w:t>
      </w:r>
    </w:p>
    <w:p w14:paraId="619ACE3E">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4、验收、交付标准和方法（实质性要求）</w:t>
      </w:r>
    </w:p>
    <w:p w14:paraId="66DD0446">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1.验收主体：中国大熊猫保护研究中心</w:t>
      </w:r>
    </w:p>
    <w:p w14:paraId="5A2E70F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2.验收时间：本项目完成后供应商提出验收申请之日起15日内组织验收</w:t>
      </w:r>
    </w:p>
    <w:p w14:paraId="3C82F701">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3.验收方式：单位内部验收。</w:t>
      </w:r>
    </w:p>
    <w:p w14:paraId="4E993F44">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4.验收程序：一次性验收</w:t>
      </w:r>
    </w:p>
    <w:p w14:paraId="2C5873A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5.验收标准：按照《财政部关于进一步加强政府采购需求和履约验收管理的指导意见》（财库〔2016〕205号）及招标文件技术服务要求、投标文件响应情况和国家、行业标准验收。</w:t>
      </w:r>
    </w:p>
    <w:p w14:paraId="099C62C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5、质保期及售后服务</w:t>
      </w:r>
    </w:p>
    <w:p w14:paraId="173DA40F">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(1)本项目质保期为验收合格后1年，在质保期内供应商应对由于货物质量缺陷而造成的故障负责。</w:t>
      </w:r>
    </w:p>
    <w:p w14:paraId="52AE5313">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(2)供应商应在收到采购人通知后24小时（包括法定节假日）内响应，48小时内到达现场，并在72小时内解决问题；负责修理或更换有缺陷的零部件，如发生安全隐患造成的损失采购人保留索赔的权利。</w:t>
      </w:r>
    </w:p>
    <w:p w14:paraId="6BDD2901">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(3)供应商须指派专人负责与采购人联系售后服务事宜。</w:t>
      </w:r>
    </w:p>
    <w:p w14:paraId="3ABF6AA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6、责任与解决争议的办法（实质性要求）</w:t>
      </w:r>
    </w:p>
    <w:p w14:paraId="54B0F73A">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bookmarkStart w:id="0" w:name="_Hlk92826642"/>
      <w:r>
        <w:rPr>
          <w:rFonts w:hint="eastAsia" w:ascii="宋体" w:hAnsi="宋体" w:eastAsia="宋体" w:cs="宋体"/>
          <w:bCs/>
          <w:color w:val="auto"/>
          <w:sz w:val="24"/>
          <w:szCs w:val="24"/>
          <w:highlight w:val="none"/>
          <w:lang w:eastAsia="zh-CN"/>
        </w:rPr>
        <w:t>1.供应商提供的货物不符合本合同规定的，每出现一次违约（合同涉及“日期”和“天数”的，每逾期一天或少一天，视为一次违约），供应商须向采购人支付本合同总价1%的违约金并且按采购人要求进行整改，出现违约3次以上或未按采购人要求整改的，采购人有权无条件解除本合同并要求供应商退还已收取的费用并承担违约责任。</w:t>
      </w:r>
    </w:p>
    <w:p w14:paraId="664905E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供应商保证本合同产品的权利无瑕疵，包括产品所有权及知识产权等权利无瑕疵。如任何第三方经法院（或仲裁机构）判决或裁决有权对上述产品主张权利，由供应商承担法律责任的，供应商除应向采购人返还已收款项及利息外，还应另按合同总价的10% 向采购人支付违约金并赔偿因此给采购人造成的一切损失，包括采购人因诉讼产生的律师费、诉讼费等费用。</w:t>
      </w:r>
    </w:p>
    <w:p w14:paraId="364A95A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3.双方应通过友好协商解决，经协商不能达成协议时，向采购单位所在地人民法院起诉。</w:t>
      </w:r>
      <w:bookmarkEnd w:id="0"/>
    </w:p>
    <w:p w14:paraId="606FC14D">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7、本项目所有工作成果知识产权归属（实质性要求）</w:t>
      </w:r>
    </w:p>
    <w:p w14:paraId="0087B93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供应商应保证在本项目中使用的任何软件和服务（包括部分使用），不会产生因第三方提出侵犯其专利权、商标权或其它知识产权而引起的法律和经济纠纷，如因专利权、商标权或其它知识产权而引起法律和经济纠纷，由供应商承担所有相关责任。</w:t>
      </w:r>
    </w:p>
    <w:p w14:paraId="2B6B27E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2.除非磋商文件特别规定，采购人享有本项目实施过程中产生的知识成果及知识产权。</w:t>
      </w:r>
    </w:p>
    <w:p w14:paraId="17138697">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3.供应商如欲在项目实施过程中采用自有知识成果，需在响应文件中声明，应当在投标文件中载明，并提供相关知识产权证明文件。使用该知识成果后，供应商需提供开发接口和开发手册等技术文档，并承诺提供无限期技术支持，采购人享有永久使用权（含采购人委托第三方在该项目后续开发的使用权）。</w:t>
      </w:r>
    </w:p>
    <w:p w14:paraId="6C2D354D">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4.如采用供应商所不拥有的知识产权，则在报价中必须包括合法获取该知识产权的相关费用，否则产生的相应费用均应当由供应商自行承担。</w:t>
      </w:r>
    </w:p>
    <w:p w14:paraId="0FD1D31F">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lang w:eastAsia="zh-CN"/>
        </w:rPr>
        <w:t>8、成本补偿和风险分担约定（实质性要求）</w:t>
      </w:r>
    </w:p>
    <w:p w14:paraId="5A3EAF23">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1.成本补偿：无。</w:t>
      </w:r>
    </w:p>
    <w:p w14:paraId="1DAC137E">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2.风险承担：供应商按有关规定采取严格的项目实施安全措施，承担由于自身安全措施不力造成的事故责任和因此发生的费用及后果。供应商投入本项目工作人员的人身安全由供应商负责。供应商应为本项目工作人员购买人身意外伤害险及与项目施工有关的一切保险。凡在项目实施过程中发生安全责任事故或其他责任事故，均由供应商承担全部民事和刑事责任，采购人概不负责。如因项目质量问题及维修不及时造成的人身伤害供应商应依法承担全部责任。</w:t>
      </w:r>
    </w:p>
    <w:p w14:paraId="0624C838">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
          <w:bCs w:val="0"/>
          <w:color w:val="auto"/>
          <w:sz w:val="24"/>
          <w:szCs w:val="24"/>
          <w:highlight w:val="none"/>
          <w:lang w:eastAsia="zh-CN"/>
        </w:rPr>
        <w:t>9、报价要求（实质性要求）：</w:t>
      </w:r>
      <w:r>
        <w:rPr>
          <w:rFonts w:hint="eastAsia" w:ascii="宋体" w:hAnsi="宋体" w:eastAsia="宋体" w:cs="宋体"/>
          <w:bCs/>
          <w:color w:val="auto"/>
          <w:sz w:val="24"/>
          <w:szCs w:val="24"/>
          <w:highlight w:val="none"/>
          <w:lang w:eastAsia="zh-CN"/>
        </w:rPr>
        <w:t>本次成交价格应是最终经采购人验收合格的总价，包括货物、运费、搬运费、税费、安装费（设备安装调试及培训）售后设计、生产、运输、保险、人工费、发票税费、验收过程中产生的所有费用。</w:t>
      </w:r>
    </w:p>
    <w:p w14:paraId="4E26C156">
      <w:pPr>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jc w:val="left"/>
        <w:textAlignment w:val="auto"/>
        <w:rPr>
          <w:rFonts w:hint="eastAsia" w:ascii="宋体" w:hAnsi="宋体" w:eastAsia="宋体" w:cs="宋体"/>
          <w:bCs/>
          <w:color w:val="auto"/>
          <w:sz w:val="24"/>
          <w:szCs w:val="24"/>
          <w:highlight w:val="none"/>
          <w:lang w:eastAsia="zh-CN"/>
        </w:rPr>
      </w:pPr>
      <w:r>
        <w:rPr>
          <w:rFonts w:hint="eastAsia" w:ascii="宋体" w:hAnsi="宋体" w:eastAsia="宋体" w:cs="宋体"/>
          <w:b/>
          <w:bCs w:val="0"/>
          <w:color w:val="auto"/>
          <w:sz w:val="24"/>
          <w:szCs w:val="24"/>
          <w:highlight w:val="none"/>
          <w:lang w:eastAsia="zh-CN"/>
        </w:rPr>
        <w:t>10、安全责任（实质性要求）：</w:t>
      </w:r>
      <w:r>
        <w:rPr>
          <w:rFonts w:hint="eastAsia" w:ascii="宋体" w:hAnsi="宋体" w:eastAsia="宋体" w:cs="宋体"/>
          <w:bCs/>
          <w:color w:val="auto"/>
          <w:sz w:val="24"/>
          <w:szCs w:val="24"/>
          <w:highlight w:val="none"/>
          <w:lang w:eastAsia="zh-CN"/>
        </w:rPr>
        <w:t>在运输、安装、调试等整个项目活动期间，所有安全责任均由供应商自行负责。</w:t>
      </w:r>
    </w:p>
    <w:p w14:paraId="3B1BD69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6A219D"/>
    <w:rsid w:val="046A219D"/>
    <w:rsid w:val="308D27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34"/>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11492</Words>
  <Characters>12316</Characters>
  <Lines>0</Lines>
  <Paragraphs>0</Paragraphs>
  <TotalTime>0</TotalTime>
  <ScaleCrop>false</ScaleCrop>
  <LinksUpToDate>false</LinksUpToDate>
  <CharactersWithSpaces>12519</CharactersWithSpaces>
  <Application>WPS Office_12.1.0.23122_F1E327BC-269C-435d-A152-05C5408002CA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2026-02-24T07:48:00Z</dcterms:created>
  <dc:creator>WPS_1698997858</dc:creator>
  <cp:lastModifiedBy>连杉</cp:lastModifiedBy>
  <dcterms:modified xsi:type="dcterms:W3CDTF">2026-02-24T08:44:24Z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2052-12.1.0.23122</vt:lpwstr>
  </property>
  <property fmtid="{D5CDD505-2E9C-101B-9397-08002B2CF9AE}" pid="3" name="ICV">
    <vt:lpwstr>FCB2802C711C4F81AFE1AB608F3218C8_13</vt:lpwstr>
  </property>
  <property fmtid="{D5CDD505-2E9C-101B-9397-08002B2CF9AE}" pid="4" name="KSOTemplateDocerSaveRecord">
    <vt:lpwstr>eyJoZGlkIjoiYjE1YmFiN2EyOTA4NDExMTM3NTU1OTZlMmZhNzRiYzciLCJ1c2VySWQiOiIxNTU0NDA5ODc2In0=</vt:lpwstr>
  </property>
</Properties>
</file>