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5012A">
      <w:pPr>
        <w:pStyle w:val="2"/>
        <w:numPr>
          <w:ilvl w:val="0"/>
          <w:numId w:val="0"/>
        </w:numPr>
        <w:tabs>
          <w:tab w:val="left" w:pos="1455"/>
        </w:tabs>
        <w:spacing w:before="0"/>
        <w:ind w:left="284" w:hanging="284"/>
        <w:jc w:val="center"/>
        <w:rPr>
          <w:rFonts w:hint="eastAsia" w:ascii="宋体" w:hAnsi="宋体" w:eastAsia="宋体" w:cs="宋体"/>
          <w:color w:val="auto"/>
          <w:sz w:val="40"/>
          <w:szCs w:val="40"/>
          <w:highlight w:val="none"/>
          <w:lang w:eastAsia="zh-CN"/>
        </w:rPr>
      </w:pPr>
      <w:bookmarkStart w:id="0" w:name="_Toc31266"/>
      <w:r>
        <w:rPr>
          <w:rFonts w:hint="eastAsia" w:ascii="宋体" w:hAnsi="宋体" w:eastAsia="宋体" w:cs="宋体"/>
          <w:color w:val="auto"/>
          <w:sz w:val="40"/>
          <w:szCs w:val="40"/>
          <w:highlight w:val="none"/>
          <w:lang w:eastAsia="zh-CN"/>
        </w:rPr>
        <w:t>西南院南方低空监测体系建设项目</w:t>
      </w:r>
    </w:p>
    <w:p w14:paraId="22605F22">
      <w:pPr>
        <w:pStyle w:val="2"/>
        <w:numPr>
          <w:ilvl w:val="0"/>
          <w:numId w:val="0"/>
        </w:numPr>
        <w:tabs>
          <w:tab w:val="left" w:pos="1455"/>
        </w:tabs>
        <w:spacing w:before="0"/>
        <w:ind w:left="284" w:hanging="284"/>
        <w:jc w:val="center"/>
        <w:rPr>
          <w:rFonts w:ascii="宋体" w:hAnsi="宋体" w:eastAsia="宋体" w:cs="宋体"/>
          <w:color w:val="auto"/>
          <w:sz w:val="40"/>
          <w:szCs w:val="40"/>
          <w:highlight w:val="none"/>
        </w:rPr>
      </w:pPr>
      <w:r>
        <w:rPr>
          <w:rFonts w:hint="eastAsia" w:ascii="宋体" w:hAnsi="宋体" w:eastAsia="宋体" w:cs="宋体"/>
          <w:color w:val="auto"/>
          <w:sz w:val="40"/>
          <w:szCs w:val="40"/>
          <w:highlight w:val="none"/>
        </w:rPr>
        <w:t>招标公告</w:t>
      </w:r>
      <w:bookmarkEnd w:id="0"/>
    </w:p>
    <w:p w14:paraId="457DA5BC">
      <w:pPr>
        <w:pBdr>
          <w:top w:val="single" w:color="auto" w:sz="4" w:space="0"/>
          <w:left w:val="single" w:color="auto" w:sz="4" w:space="0"/>
          <w:bottom w:val="single" w:color="auto" w:sz="4" w:space="0"/>
          <w:right w:val="single" w:color="auto" w:sz="4" w:space="0"/>
        </w:pBdr>
        <w:spacing w:line="440" w:lineRule="exact"/>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项目概况</w:t>
      </w:r>
    </w:p>
    <w:p w14:paraId="442D1416">
      <w:pPr>
        <w:pBdr>
          <w:top w:val="single" w:color="auto" w:sz="4" w:space="0"/>
          <w:left w:val="single" w:color="auto" w:sz="4" w:space="0"/>
          <w:bottom w:val="single" w:color="auto" w:sz="4" w:space="0"/>
          <w:right w:val="single" w:color="auto" w:sz="4" w:space="0"/>
        </w:pBdr>
        <w:spacing w:line="440" w:lineRule="exact"/>
        <w:ind w:firstLine="482" w:firstLineChars="200"/>
        <w:rPr>
          <w:rFonts w:hint="eastAsia" w:ascii="宋体" w:hAnsi="宋体" w:cs="宋体"/>
          <w:color w:val="auto"/>
          <w:sz w:val="24"/>
          <w:highlight w:val="none"/>
        </w:rPr>
      </w:pPr>
      <w:r>
        <w:rPr>
          <w:rFonts w:hint="eastAsia" w:ascii="宋体" w:hAnsi="宋体" w:cs="宋体"/>
          <w:b/>
          <w:color w:val="auto"/>
          <w:sz w:val="24"/>
          <w:highlight w:val="none"/>
          <w:u w:val="single"/>
          <w:lang w:eastAsia="zh-CN"/>
        </w:rPr>
        <w:t>西南院南方低空监测体系建设项目</w:t>
      </w:r>
      <w:r>
        <w:rPr>
          <w:rFonts w:hint="eastAsia" w:ascii="宋体" w:hAnsi="宋体" w:cs="宋体"/>
          <w:color w:val="auto"/>
          <w:sz w:val="24"/>
          <w:highlight w:val="none"/>
        </w:rPr>
        <w:t>的潜在投标人应在</w:t>
      </w:r>
      <w:r>
        <w:rPr>
          <w:rFonts w:hint="eastAsia" w:ascii="宋体" w:hAnsi="宋体" w:cs="宋体"/>
          <w:b/>
          <w:bCs/>
          <w:color w:val="auto"/>
          <w:sz w:val="24"/>
          <w:highlight w:val="none"/>
          <w:u w:val="single"/>
        </w:rPr>
        <w:t xml:space="preserve"> 云南众高工程咨询有限公司（昆明市盘龙区北辰大道1号美立方商业广场B座16楼）</w:t>
      </w:r>
      <w:r>
        <w:rPr>
          <w:rFonts w:hint="eastAsia" w:ascii="宋体" w:hAnsi="宋体" w:cs="宋体"/>
          <w:color w:val="auto"/>
          <w:sz w:val="24"/>
          <w:highlight w:val="none"/>
        </w:rPr>
        <w:t>获取招标文件，并于</w:t>
      </w:r>
      <w:r>
        <w:rPr>
          <w:rFonts w:hint="eastAsia" w:ascii="宋体" w:hAnsi="宋体" w:cs="宋体"/>
          <w:b/>
          <w:bCs/>
          <w:color w:val="auto"/>
          <w:sz w:val="24"/>
          <w:highlight w:val="none"/>
          <w:u w:val="single"/>
        </w:rPr>
        <w:t>202</w:t>
      </w:r>
      <w:r>
        <w:rPr>
          <w:rFonts w:hint="eastAsia" w:ascii="宋体" w:hAnsi="宋体" w:cs="宋体"/>
          <w:b/>
          <w:bCs/>
          <w:color w:val="auto"/>
          <w:sz w:val="24"/>
          <w:highlight w:val="none"/>
          <w:u w:val="single"/>
          <w:lang w:val="en-US" w:eastAsia="zh-CN"/>
        </w:rPr>
        <w:t>6</w:t>
      </w:r>
      <w:r>
        <w:rPr>
          <w:rFonts w:hint="eastAsia" w:ascii="宋体" w:hAnsi="宋体" w:cs="宋体"/>
          <w:b/>
          <w:bCs/>
          <w:color w:val="auto"/>
          <w:sz w:val="24"/>
          <w:highlight w:val="none"/>
          <w:u w:val="single"/>
        </w:rPr>
        <w:t>年</w:t>
      </w:r>
      <w:r>
        <w:rPr>
          <w:rFonts w:hint="eastAsia" w:ascii="宋体" w:hAnsi="宋体" w:cs="宋体"/>
          <w:b/>
          <w:bCs/>
          <w:color w:val="auto"/>
          <w:sz w:val="24"/>
          <w:highlight w:val="none"/>
          <w:u w:val="single"/>
          <w:lang w:val="en-US" w:eastAsia="zh-CN"/>
        </w:rPr>
        <w:t>11</w:t>
      </w:r>
      <w:r>
        <w:rPr>
          <w:rFonts w:hint="eastAsia" w:ascii="宋体" w:hAnsi="宋体" w:cs="宋体"/>
          <w:b/>
          <w:bCs/>
          <w:color w:val="auto"/>
          <w:sz w:val="24"/>
          <w:highlight w:val="none"/>
          <w:u w:val="single"/>
        </w:rPr>
        <w:t>月</w:t>
      </w:r>
      <w:r>
        <w:rPr>
          <w:rFonts w:hint="eastAsia" w:ascii="宋体" w:hAnsi="宋体" w:cs="宋体"/>
          <w:b/>
          <w:bCs/>
          <w:color w:val="auto"/>
          <w:sz w:val="24"/>
          <w:highlight w:val="none"/>
          <w:u w:val="single"/>
          <w:lang w:val="en-US" w:eastAsia="zh-CN"/>
        </w:rPr>
        <w:t>26</w:t>
      </w:r>
      <w:r>
        <w:rPr>
          <w:rFonts w:hint="eastAsia" w:ascii="宋体" w:hAnsi="宋体" w:cs="宋体"/>
          <w:b/>
          <w:bCs/>
          <w:color w:val="auto"/>
          <w:sz w:val="24"/>
          <w:highlight w:val="none"/>
          <w:u w:val="single"/>
        </w:rPr>
        <w:t>日</w:t>
      </w:r>
      <w:r>
        <w:rPr>
          <w:rFonts w:hint="eastAsia" w:ascii="宋体" w:hAnsi="宋体" w:cs="宋体"/>
          <w:b/>
          <w:bCs/>
          <w:color w:val="auto"/>
          <w:sz w:val="24"/>
          <w:highlight w:val="none"/>
          <w:u w:val="single"/>
          <w:lang w:val="en-US" w:eastAsia="zh-CN"/>
        </w:rPr>
        <w:t>09:30</w:t>
      </w:r>
      <w:r>
        <w:rPr>
          <w:rFonts w:hint="eastAsia" w:ascii="宋体" w:hAnsi="宋体" w:cs="宋体"/>
          <w:color w:val="auto"/>
          <w:sz w:val="24"/>
          <w:highlight w:val="none"/>
        </w:rPr>
        <w:t>（北京时间）前递交投标文件。</w:t>
      </w:r>
    </w:p>
    <w:p w14:paraId="279E0AC9">
      <w:pPr>
        <w:pStyle w:val="4"/>
        <w:keepNext w:val="0"/>
        <w:keepLines w:val="0"/>
        <w:pageBreakBefore w:val="0"/>
        <w:numPr>
          <w:ilvl w:val="0"/>
          <w:numId w:val="0"/>
        </w:numPr>
        <w:tabs>
          <w:tab w:val="clear" w:pos="1588"/>
        </w:tabs>
        <w:kinsoku/>
        <w:overflowPunct/>
        <w:topLinePunct w:val="0"/>
        <w:autoSpaceDE/>
        <w:autoSpaceDN/>
        <w:bidi w:val="0"/>
        <w:spacing w:before="0" w:line="360" w:lineRule="auto"/>
        <w:rPr>
          <w:rFonts w:hint="eastAsia" w:ascii="宋体" w:hAnsi="宋体" w:eastAsia="宋体" w:cs="Times New Roman"/>
          <w:color w:val="auto"/>
          <w:sz w:val="24"/>
          <w:szCs w:val="24"/>
          <w:highlight w:val="none"/>
          <w:lang w:val="en-US" w:eastAsia="zh-CN"/>
        </w:rPr>
      </w:pPr>
      <w:bookmarkStart w:id="1" w:name="_Toc35393790"/>
      <w:bookmarkStart w:id="2" w:name="_Toc28359079"/>
      <w:bookmarkStart w:id="3" w:name="_Toc28359002"/>
      <w:bookmarkStart w:id="4" w:name="_Toc23876"/>
      <w:bookmarkStart w:id="5" w:name="_Toc35393621"/>
      <w:bookmarkStart w:id="6" w:name="_Hlk24379207"/>
      <w:r>
        <w:rPr>
          <w:rFonts w:hint="eastAsia" w:ascii="宋体" w:hAnsi="宋体" w:eastAsia="宋体" w:cs="Times New Roman"/>
          <w:color w:val="auto"/>
          <w:sz w:val="24"/>
          <w:szCs w:val="24"/>
          <w:highlight w:val="none"/>
          <w:lang w:val="en-US" w:eastAsia="zh-CN"/>
        </w:rPr>
        <w:t>一、项目基本情况</w:t>
      </w:r>
      <w:bookmarkEnd w:id="1"/>
      <w:bookmarkEnd w:id="2"/>
      <w:bookmarkEnd w:id="3"/>
      <w:bookmarkEnd w:id="4"/>
      <w:bookmarkEnd w:id="5"/>
    </w:p>
    <w:p w14:paraId="7619DDB3">
      <w:pPr>
        <w:keepNext w:val="0"/>
        <w:keepLines w:val="0"/>
        <w:pageBreakBefore w:val="0"/>
        <w:kinsoku/>
        <w:overflowPunct/>
        <w:topLinePunct w:val="0"/>
        <w:autoSpaceDE/>
        <w:autoSpaceDN/>
        <w:bidi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1.</w:t>
      </w:r>
      <w:r>
        <w:rPr>
          <w:rFonts w:hint="eastAsia" w:ascii="宋体" w:hAnsi="宋体" w:cs="宋体"/>
          <w:color w:val="auto"/>
          <w:sz w:val="24"/>
          <w:highlight w:val="none"/>
          <w:lang w:eastAsia="zh-CN"/>
        </w:rPr>
        <w:t>招标编号</w:t>
      </w:r>
      <w:r>
        <w:rPr>
          <w:rFonts w:hint="eastAsia" w:ascii="宋体" w:hAnsi="宋体" w:cs="宋体"/>
          <w:color w:val="auto"/>
          <w:sz w:val="24"/>
          <w:highlight w:val="none"/>
        </w:rPr>
        <w:t>：</w:t>
      </w:r>
      <w:r>
        <w:rPr>
          <w:rFonts w:hint="eastAsia" w:ascii="宋体" w:hAnsi="宋体" w:cs="宋体"/>
          <w:color w:val="auto"/>
          <w:sz w:val="24"/>
          <w:highlight w:val="none"/>
          <w:lang w:eastAsia="zh-CN"/>
        </w:rPr>
        <w:t>ZG-2026212</w:t>
      </w:r>
    </w:p>
    <w:p w14:paraId="07B6331B">
      <w:pPr>
        <w:keepNext w:val="0"/>
        <w:keepLines w:val="0"/>
        <w:pageBreakBefore w:val="0"/>
        <w:kinsoku/>
        <w:overflowPunct/>
        <w:topLinePunct w:val="0"/>
        <w:autoSpaceDE/>
        <w:autoSpaceDN/>
        <w:bidi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w:t>
      </w:r>
      <w:r>
        <w:rPr>
          <w:rFonts w:hint="eastAsia" w:ascii="宋体" w:hAnsi="宋体" w:eastAsia="宋体" w:cs="宋体"/>
          <w:color w:val="auto"/>
          <w:sz w:val="24"/>
          <w:highlight w:val="none"/>
          <w:lang w:eastAsia="zh-CN"/>
        </w:rPr>
        <w:t>西南院南方低空监测体系建设项目</w:t>
      </w:r>
    </w:p>
    <w:bookmarkEnd w:id="6"/>
    <w:p w14:paraId="6583B97C">
      <w:pPr>
        <w:keepNext w:val="0"/>
        <w:keepLines w:val="0"/>
        <w:pageBreakBefore w:val="0"/>
        <w:kinsoku/>
        <w:overflowPunct/>
        <w:topLinePunct w:val="0"/>
        <w:autoSpaceDE/>
        <w:autoSpaceDN/>
        <w:bidi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3.预算金额：1标段¥16,000,000.00元；2标段¥3,180,000.00元。</w:t>
      </w:r>
    </w:p>
    <w:p w14:paraId="10EDB89A">
      <w:pPr>
        <w:keepNext w:val="0"/>
        <w:keepLines w:val="0"/>
        <w:pageBreakBefore w:val="0"/>
        <w:kinsoku/>
        <w:overflowPunct/>
        <w:topLinePunct w:val="0"/>
        <w:autoSpaceDE/>
        <w:autoSpaceDN/>
        <w:bidi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4.最高限价：1标段¥16,000,000.00元；2标段¥3,180,000.00元。</w:t>
      </w:r>
    </w:p>
    <w:p w14:paraId="5650A5EF">
      <w:pPr>
        <w:keepNext w:val="0"/>
        <w:keepLines w:val="0"/>
        <w:pageBreakBefore w:val="0"/>
        <w:kinsoku/>
        <w:overflowPunct/>
        <w:topLinePunct w:val="0"/>
        <w:autoSpaceDE/>
        <w:autoSpaceDN/>
        <w:bidi w:val="0"/>
        <w:spacing w:line="360" w:lineRule="auto"/>
        <w:ind w:firstLine="480" w:firstLineChars="200"/>
        <w:rPr>
          <w:rFonts w:hint="eastAsia" w:ascii="宋体" w:hAnsi="宋体" w:cs="宋体"/>
          <w:color w:val="auto"/>
          <w:sz w:val="24"/>
          <w:highlight w:val="none"/>
        </w:rPr>
      </w:pPr>
      <w:r>
        <w:rPr>
          <w:rFonts w:hint="eastAsia" w:ascii="宋体" w:hAnsi="宋体" w:eastAsia="宋体" w:cs="宋体"/>
          <w:color w:val="auto"/>
          <w:sz w:val="24"/>
          <w:highlight w:val="none"/>
        </w:rPr>
        <w:t>5.采购需求：</w:t>
      </w:r>
      <w:r>
        <w:rPr>
          <w:rFonts w:hint="eastAsia" w:ascii="宋体" w:hAnsi="宋体" w:cs="宋体"/>
          <w:color w:val="auto"/>
          <w:sz w:val="24"/>
          <w:highlight w:val="none"/>
        </w:rPr>
        <w:t>本项目采购标的名称、数量、技术要求如下：</w:t>
      </w:r>
      <w:bookmarkStart w:id="46" w:name="_GoBack"/>
      <w:bookmarkEnd w:id="46"/>
    </w:p>
    <w:p w14:paraId="03A6E100">
      <w:pPr>
        <w:keepNext w:val="0"/>
        <w:keepLines w:val="0"/>
        <w:pageBreakBefore w:val="0"/>
        <w:kinsoku/>
        <w:overflowPunct/>
        <w:topLinePunct w:val="0"/>
        <w:autoSpaceDE/>
        <w:autoSpaceDN/>
        <w:bidi w:val="0"/>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1标段：</w:t>
      </w:r>
    </w:p>
    <w:tbl>
      <w:tblPr>
        <w:tblStyle w:val="5"/>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
        <w:gridCol w:w="3096"/>
        <w:gridCol w:w="702"/>
        <w:gridCol w:w="698"/>
        <w:gridCol w:w="1180"/>
        <w:gridCol w:w="2145"/>
      </w:tblGrid>
      <w:tr w14:paraId="39C69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78EE696F">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36AAB718">
            <w:pPr>
              <w:keepNext w:val="0"/>
              <w:keepLines w:val="0"/>
              <w:pageBreakBefore w:val="0"/>
              <w:widowControl w:val="0"/>
              <w:kinsoku/>
              <w:wordWrap/>
              <w:overflowPunct/>
              <w:topLinePunct/>
              <w:autoSpaceDE/>
              <w:autoSpaceDN/>
              <w:bidi w:val="0"/>
              <w:snapToGrid/>
              <w:spacing w:line="240" w:lineRule="auto"/>
              <w:jc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设备名称</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233794EB">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单位</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7D671141">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1E473740">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预算单价</w:t>
            </w:r>
          </w:p>
          <w:p w14:paraId="2CE2214C">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（万元）</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29C68CB">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预算总价（万元）</w:t>
            </w:r>
          </w:p>
        </w:tc>
      </w:tr>
      <w:tr w14:paraId="5C803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5EB82DF8">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1</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350A90F1">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低空监测装备体系建设</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05AB72BE">
            <w:pPr>
              <w:pageBreakBefore w:val="0"/>
              <w:kinsoku/>
              <w:wordWrap/>
              <w:overflowPunct/>
              <w:autoSpaceDE/>
              <w:autoSpaceDN/>
              <w:bidi w:val="0"/>
              <w:spacing w:line="240" w:lineRule="auto"/>
              <w:jc w:val="both"/>
              <w:rPr>
                <w:rFonts w:hint="eastAsia" w:ascii="宋体" w:hAnsi="宋体" w:eastAsia="宋体" w:cs="宋体"/>
                <w:i w:val="0"/>
                <w:iCs w:val="0"/>
                <w:color w:val="auto"/>
                <w:sz w:val="24"/>
                <w:szCs w:val="24"/>
                <w:highlight w:val="none"/>
                <w:u w:val="none"/>
              </w:rPr>
            </w:pP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19B1C3BC">
            <w:pPr>
              <w:pageBreakBefore w:val="0"/>
              <w:kinsoku/>
              <w:wordWrap/>
              <w:overflowPunct/>
              <w:autoSpaceDE/>
              <w:autoSpaceDN/>
              <w:bidi w:val="0"/>
              <w:spacing w:line="240" w:lineRule="auto"/>
              <w:jc w:val="center"/>
              <w:rPr>
                <w:rFonts w:hint="eastAsia" w:ascii="宋体" w:hAnsi="宋体" w:eastAsia="宋体" w:cs="宋体"/>
                <w:i w:val="0"/>
                <w:iCs w:val="0"/>
                <w:color w:val="auto"/>
                <w:sz w:val="24"/>
                <w:szCs w:val="24"/>
                <w:highlight w:val="none"/>
                <w:u w:val="none"/>
              </w:rPr>
            </w:pP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7A9E2FF0">
            <w:pPr>
              <w:pageBreakBefore w:val="0"/>
              <w:kinsoku/>
              <w:wordWrap/>
              <w:overflowPunct/>
              <w:autoSpaceDE/>
              <w:autoSpaceDN/>
              <w:bidi w:val="0"/>
              <w:spacing w:line="240" w:lineRule="auto"/>
              <w:jc w:val="right"/>
              <w:rPr>
                <w:rFonts w:hint="eastAsia" w:ascii="宋体" w:hAnsi="宋体" w:eastAsia="宋体" w:cs="宋体"/>
                <w:b/>
                <w:bCs/>
                <w:i w:val="0"/>
                <w:iCs w:val="0"/>
                <w:color w:val="auto"/>
                <w:sz w:val="24"/>
                <w:szCs w:val="24"/>
                <w:highlight w:val="none"/>
                <w:u w:val="none"/>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C7302FF">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b/>
                <w:bCs/>
                <w:i w:val="0"/>
                <w:iCs w:val="0"/>
                <w:color w:val="auto"/>
                <w:kern w:val="0"/>
                <w:sz w:val="24"/>
                <w:szCs w:val="24"/>
                <w:highlight w:val="none"/>
                <w:u w:val="none"/>
                <w:lang w:val="en-US" w:eastAsia="zh-CN" w:bidi="ar"/>
              </w:rPr>
              <w:t>1559.5</w:t>
            </w:r>
            <w:r>
              <w:rPr>
                <w:rFonts w:hint="eastAsia" w:ascii="宋体" w:hAnsi="宋体" w:eastAsia="宋体" w:cs="宋体"/>
                <w:b/>
                <w:bCs/>
                <w:i w:val="0"/>
                <w:iCs w:val="0"/>
                <w:color w:val="auto"/>
                <w:kern w:val="0"/>
                <w:sz w:val="24"/>
                <w:szCs w:val="24"/>
                <w:highlight w:val="none"/>
                <w:u w:val="none"/>
                <w:lang w:val="en-US" w:eastAsia="zh-CN" w:bidi="ar"/>
              </w:rPr>
              <w:t xml:space="preserve"> </w:t>
            </w:r>
          </w:p>
        </w:tc>
      </w:tr>
      <w:tr w14:paraId="3AB08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044C3FF5">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1.1</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2DD61E54">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低空数据采集平台</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772B6A22">
            <w:pPr>
              <w:pageBreakBefore w:val="0"/>
              <w:kinsoku/>
              <w:wordWrap/>
              <w:overflowPunct/>
              <w:autoSpaceDE/>
              <w:autoSpaceDN/>
              <w:bidi w:val="0"/>
              <w:spacing w:line="240" w:lineRule="auto"/>
              <w:jc w:val="both"/>
              <w:rPr>
                <w:rFonts w:hint="eastAsia" w:ascii="宋体" w:hAnsi="宋体" w:eastAsia="宋体" w:cs="宋体"/>
                <w:i w:val="0"/>
                <w:iCs w:val="0"/>
                <w:color w:val="auto"/>
                <w:kern w:val="0"/>
                <w:sz w:val="24"/>
                <w:szCs w:val="24"/>
                <w:highlight w:val="none"/>
                <w:u w:val="none"/>
                <w:lang w:val="en-US" w:eastAsia="zh-CN" w:bidi="ar"/>
              </w:rPr>
            </w:pP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20CDC9E3">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118</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461EA6AB">
            <w:pPr>
              <w:pageBreakBefore w:val="0"/>
              <w:kinsoku/>
              <w:wordWrap/>
              <w:overflowPunct/>
              <w:autoSpaceDE/>
              <w:autoSpaceDN/>
              <w:bidi w:val="0"/>
              <w:spacing w:line="240" w:lineRule="auto"/>
              <w:jc w:val="right"/>
              <w:rPr>
                <w:rFonts w:hint="eastAsia" w:ascii="宋体" w:hAnsi="宋体" w:eastAsia="宋体" w:cs="宋体"/>
                <w:i w:val="0"/>
                <w:iCs w:val="0"/>
                <w:color w:val="auto"/>
                <w:sz w:val="24"/>
                <w:szCs w:val="24"/>
                <w:highlight w:val="none"/>
                <w:u w:val="none"/>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46DE1DE">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b/>
                <w:bCs/>
                <w:i w:val="0"/>
                <w:iCs w:val="0"/>
                <w:color w:val="auto"/>
                <w:kern w:val="0"/>
                <w:sz w:val="24"/>
                <w:szCs w:val="24"/>
                <w:highlight w:val="none"/>
                <w:u w:val="none"/>
                <w:lang w:val="en-US" w:eastAsia="zh-CN" w:bidi="ar"/>
              </w:rPr>
              <w:t>1005.50</w:t>
            </w:r>
          </w:p>
        </w:tc>
      </w:tr>
      <w:tr w14:paraId="79655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5C22E4CE">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4C030AF3">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复合翼无人机</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1DEB92B2">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架</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7F04E490">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30AD8C8A">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35.00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83B2129">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70.00 </w:t>
            </w:r>
          </w:p>
        </w:tc>
      </w:tr>
      <w:tr w14:paraId="40699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71BE5320">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5B1353FF">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多旋翼巡检无人机（一）</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01505D32">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架</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3570BBB9">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749CBF40">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B093986">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250.00 </w:t>
            </w:r>
          </w:p>
        </w:tc>
      </w:tr>
      <w:tr w14:paraId="42279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00721B88">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3103651B">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多旋翼巡检无人机（二）</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760C5EC0">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架</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3714BBA4">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45F34E15">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E0EB36F">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108.00 </w:t>
            </w:r>
          </w:p>
        </w:tc>
      </w:tr>
      <w:tr w14:paraId="7C955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4CA2EF1E">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5BFC303E">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多旋翼巡检无人机（三）</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2A5A4FA2">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架</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2E58B214">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0579FA0C">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F8E2C72">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100.00 </w:t>
            </w:r>
          </w:p>
        </w:tc>
      </w:tr>
      <w:tr w14:paraId="18B2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2A9C8922">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091C47FD">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多旋翼无人机（多光谱）</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7B48F040">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架</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0E0B285E">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06DC1F7B">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4.50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0D3D48A">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67.50 </w:t>
            </w:r>
          </w:p>
        </w:tc>
      </w:tr>
      <w:tr w14:paraId="1FB63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00ADEEAF">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6FCDAD74">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多旋翼无人值守平台</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66FEB2FB">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3CD7E4FF">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0B6C245C">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20.50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9A64476">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410.00 </w:t>
            </w:r>
          </w:p>
        </w:tc>
      </w:tr>
      <w:tr w14:paraId="72A1C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14EDF958">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1.2</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27CD52FF">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低空数据采集载荷</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1F6E264C">
            <w:pPr>
              <w:pageBreakBefore w:val="0"/>
              <w:kinsoku/>
              <w:wordWrap/>
              <w:overflowPunct/>
              <w:autoSpaceDE/>
              <w:autoSpaceDN/>
              <w:bidi w:val="0"/>
              <w:spacing w:line="240" w:lineRule="auto"/>
              <w:jc w:val="both"/>
              <w:rPr>
                <w:rFonts w:hint="eastAsia" w:ascii="宋体" w:hAnsi="宋体" w:eastAsia="宋体" w:cs="宋体"/>
                <w:i w:val="0"/>
                <w:iCs w:val="0"/>
                <w:color w:val="auto"/>
                <w:kern w:val="0"/>
                <w:sz w:val="24"/>
                <w:szCs w:val="24"/>
                <w:highlight w:val="none"/>
                <w:u w:val="none"/>
                <w:lang w:val="en-US" w:eastAsia="zh-CN" w:bidi="ar"/>
              </w:rPr>
            </w:pP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156A2E4B">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24</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1A226434">
            <w:pPr>
              <w:pageBreakBefore w:val="0"/>
              <w:kinsoku/>
              <w:wordWrap/>
              <w:overflowPunct/>
              <w:autoSpaceDE/>
              <w:autoSpaceDN/>
              <w:bidi w:val="0"/>
              <w:spacing w:line="240" w:lineRule="auto"/>
              <w:jc w:val="right"/>
              <w:rPr>
                <w:rFonts w:hint="eastAsia" w:ascii="宋体" w:hAnsi="宋体" w:eastAsia="宋体" w:cs="宋体"/>
                <w:i w:val="0"/>
                <w:iCs w:val="0"/>
                <w:color w:val="auto"/>
                <w:sz w:val="24"/>
                <w:szCs w:val="24"/>
                <w:highlight w:val="none"/>
                <w:u w:val="none"/>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90F28E9">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 xml:space="preserve">554.00 </w:t>
            </w:r>
          </w:p>
        </w:tc>
      </w:tr>
      <w:tr w14:paraId="6F5F2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6BACF23F">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7AE39C60">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热成像相机</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6EBDC371">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3136F0BE">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67FCFE1A">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7.60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DD5B7B7">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38.00 </w:t>
            </w:r>
          </w:p>
        </w:tc>
      </w:tr>
      <w:tr w14:paraId="7EB78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61591514">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6E460F8C">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激光雷达</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18EE05F4">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06B51354">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31926630">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AD678C4">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77.00 </w:t>
            </w:r>
          </w:p>
        </w:tc>
      </w:tr>
      <w:tr w14:paraId="008D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2A94347C">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2C04901C">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光电吊舱</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156257CD">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290E9B89">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0342E1A3">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50.00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B9D7A53">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100.00 </w:t>
            </w:r>
          </w:p>
        </w:tc>
      </w:tr>
      <w:tr w14:paraId="6BE7A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4B8F74B2">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71A06BFD">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高光谱采集仪</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337983AB">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4C34E8FB">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31AF1090">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65.00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37A2E056">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195.00 </w:t>
            </w:r>
          </w:p>
        </w:tc>
      </w:tr>
      <w:tr w14:paraId="7E15F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7DC80E61">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6AD5BF35">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单镜头相机（一）</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1112BB00">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109E995F">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1AC57ACF">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20.00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7508007">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60.00 </w:t>
            </w:r>
          </w:p>
        </w:tc>
      </w:tr>
      <w:tr w14:paraId="034C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388F3C35">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50A579D5">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单镜头相机（二）</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3CA209AE">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台</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6C8842E4">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59807738">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20.00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72FC8E1">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40.00 </w:t>
            </w:r>
          </w:p>
        </w:tc>
      </w:tr>
      <w:tr w14:paraId="21717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52D89645">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746F4B7F">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五镜头相机</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46E5E4A6">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05185EB4">
            <w:pPr>
              <w:keepNext w:val="0"/>
              <w:keepLines w:val="0"/>
              <w:pageBreakBefore w:val="0"/>
              <w:widowControl/>
              <w:suppressLineNumbers w:val="0"/>
              <w:kinsoku/>
              <w:wordWrap/>
              <w:overflowPunct/>
              <w:autoSpaceDE/>
              <w:autoSpaceDN/>
              <w:bidi w:val="0"/>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1E56526F">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22.00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3E98DE4D">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44.00 </w:t>
            </w:r>
          </w:p>
        </w:tc>
      </w:tr>
      <w:tr w14:paraId="4CE8F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377CA43D">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2</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45571032">
            <w:pPr>
              <w:keepNext w:val="0"/>
              <w:keepLines w:val="0"/>
              <w:pageBreakBefore w:val="0"/>
              <w:widowControl/>
              <w:suppressLineNumbers w:val="0"/>
              <w:kinsoku/>
              <w:wordWrap/>
              <w:overflowPunct/>
              <w:autoSpaceDE/>
              <w:autoSpaceDN/>
              <w:bidi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监测数据处理分析软件</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084CABB5">
            <w:pPr>
              <w:pageBreakBefore w:val="0"/>
              <w:kinsoku/>
              <w:wordWrap/>
              <w:overflowPunct/>
              <w:autoSpaceDE/>
              <w:autoSpaceDN/>
              <w:bidi w:val="0"/>
              <w:jc w:val="both"/>
              <w:rPr>
                <w:rFonts w:hint="eastAsia" w:ascii="宋体" w:hAnsi="宋体" w:eastAsia="宋体" w:cs="宋体"/>
                <w:i w:val="0"/>
                <w:iCs w:val="0"/>
                <w:color w:val="auto"/>
                <w:kern w:val="0"/>
                <w:sz w:val="24"/>
                <w:szCs w:val="24"/>
                <w:highlight w:val="none"/>
                <w:u w:val="none"/>
                <w:lang w:val="en-US" w:eastAsia="zh-CN" w:bidi="ar"/>
              </w:rPr>
            </w:pP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5F4D2D2F">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6</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1B29C5D2">
            <w:pPr>
              <w:pageBreakBefore w:val="0"/>
              <w:kinsoku/>
              <w:wordWrap/>
              <w:overflowPunct/>
              <w:autoSpaceDE/>
              <w:autoSpaceDN/>
              <w:bidi w:val="0"/>
              <w:jc w:val="right"/>
              <w:rPr>
                <w:rFonts w:hint="eastAsia" w:ascii="宋体" w:hAnsi="宋体" w:eastAsia="宋体" w:cs="宋体"/>
                <w:i w:val="0"/>
                <w:iCs w:val="0"/>
                <w:color w:val="auto"/>
                <w:kern w:val="0"/>
                <w:sz w:val="24"/>
                <w:szCs w:val="24"/>
                <w:highlight w:val="none"/>
                <w:u w:val="none"/>
                <w:lang w:val="en-US" w:eastAsia="zh-CN"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B243F0D">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 xml:space="preserve">40.50 </w:t>
            </w:r>
          </w:p>
        </w:tc>
      </w:tr>
      <w:tr w14:paraId="2A5B5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5A407B4A">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22D8E89D">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遥感影像数据处理分析软件</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43E97F9B">
            <w:pPr>
              <w:keepNext w:val="0"/>
              <w:keepLines w:val="0"/>
              <w:pageBreakBefore w:val="0"/>
              <w:widowControl/>
              <w:suppressLineNumbers w:val="0"/>
              <w:kinsoku/>
              <w:wordWrap/>
              <w:overflowPunct/>
              <w:autoSpaceDE/>
              <w:autoSpaceDN/>
              <w:bidi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625F0315">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6DA85603">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6.50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CACAB71">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19.50 </w:t>
            </w:r>
          </w:p>
        </w:tc>
      </w:tr>
      <w:tr w14:paraId="109A8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1" w:type="pct"/>
            <w:tcBorders>
              <w:top w:val="single" w:color="000000" w:sz="4" w:space="0"/>
              <w:left w:val="single" w:color="000000" w:sz="4" w:space="0"/>
              <w:bottom w:val="single" w:color="000000" w:sz="4" w:space="0"/>
              <w:right w:val="single" w:color="000000" w:sz="4" w:space="0"/>
            </w:tcBorders>
            <w:noWrap/>
            <w:vAlign w:val="center"/>
          </w:tcPr>
          <w:p w14:paraId="735D7781">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2049" w:type="pct"/>
            <w:tcBorders>
              <w:top w:val="single" w:color="000000" w:sz="4" w:space="0"/>
              <w:left w:val="single" w:color="000000" w:sz="4" w:space="0"/>
              <w:bottom w:val="single" w:color="000000" w:sz="4" w:space="0"/>
              <w:right w:val="single" w:color="000000" w:sz="4" w:space="0"/>
            </w:tcBorders>
            <w:noWrap/>
            <w:vAlign w:val="center"/>
          </w:tcPr>
          <w:p w14:paraId="00A602B1">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激光雷达数据处理分析软件</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00D619FE">
            <w:pPr>
              <w:keepNext w:val="0"/>
              <w:keepLines w:val="0"/>
              <w:pageBreakBefore w:val="0"/>
              <w:widowControl/>
              <w:suppressLineNumbers w:val="0"/>
              <w:kinsoku/>
              <w:wordWrap/>
              <w:overflowPunct/>
              <w:autoSpaceDE/>
              <w:autoSpaceDN/>
              <w:bidi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133B0731">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3219E7BF">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7.00 </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073DE66">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21.00 </w:t>
            </w:r>
          </w:p>
        </w:tc>
      </w:tr>
      <w:tr w14:paraId="74F73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490" w:type="pct"/>
            <w:gridSpan w:val="2"/>
            <w:tcBorders>
              <w:top w:val="single" w:color="000000" w:sz="4" w:space="0"/>
              <w:left w:val="single" w:color="000000" w:sz="4" w:space="0"/>
              <w:bottom w:val="single" w:color="000000" w:sz="4" w:space="0"/>
              <w:right w:val="single" w:color="000000" w:sz="4" w:space="0"/>
            </w:tcBorders>
            <w:noWrap/>
            <w:vAlign w:val="center"/>
          </w:tcPr>
          <w:p w14:paraId="53ECA252">
            <w:pPr>
              <w:keepNext w:val="0"/>
              <w:keepLines w:val="0"/>
              <w:pageBreakBefore w:val="0"/>
              <w:widowControl/>
              <w:suppressLineNumbers w:val="0"/>
              <w:kinsoku/>
              <w:wordWrap/>
              <w:overflowPunct/>
              <w:autoSpaceDE/>
              <w:autoSpaceDN/>
              <w:bidi w:val="0"/>
              <w:spacing w:line="240" w:lineRule="auto"/>
              <w:jc w:val="both"/>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合计</w:t>
            </w:r>
          </w:p>
        </w:tc>
        <w:tc>
          <w:tcPr>
            <w:tcW w:w="575" w:type="pct"/>
            <w:tcBorders>
              <w:top w:val="single" w:color="000000" w:sz="4" w:space="0"/>
              <w:left w:val="single" w:color="000000" w:sz="4" w:space="0"/>
              <w:bottom w:val="single" w:color="000000" w:sz="4" w:space="0"/>
              <w:right w:val="single" w:color="000000" w:sz="4" w:space="0"/>
            </w:tcBorders>
            <w:noWrap/>
            <w:vAlign w:val="center"/>
          </w:tcPr>
          <w:p w14:paraId="3FF7CBD4">
            <w:pPr>
              <w:pageBreakBefore w:val="0"/>
              <w:kinsoku/>
              <w:wordWrap/>
              <w:overflowPunct/>
              <w:autoSpaceDE/>
              <w:autoSpaceDN/>
              <w:bidi w:val="0"/>
              <w:spacing w:line="240" w:lineRule="auto"/>
              <w:jc w:val="both"/>
              <w:rPr>
                <w:rFonts w:hint="eastAsia" w:ascii="宋体" w:hAnsi="宋体" w:eastAsia="宋体" w:cs="宋体"/>
                <w:b/>
                <w:bCs/>
                <w:i w:val="0"/>
                <w:iCs w:val="0"/>
                <w:color w:val="auto"/>
                <w:kern w:val="0"/>
                <w:sz w:val="24"/>
                <w:szCs w:val="24"/>
                <w:highlight w:val="none"/>
                <w:u w:val="none"/>
                <w:lang w:val="en-US" w:eastAsia="zh-CN" w:bidi="ar"/>
              </w:rPr>
            </w:pP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037A042C">
            <w:pPr>
              <w:pageBreakBefore w:val="0"/>
              <w:kinsoku/>
              <w:wordWrap/>
              <w:overflowPunct/>
              <w:autoSpaceDE/>
              <w:autoSpaceDN/>
              <w:bidi w:val="0"/>
              <w:spacing w:line="240" w:lineRule="auto"/>
              <w:jc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148</w:t>
            </w:r>
          </w:p>
        </w:tc>
        <w:tc>
          <w:tcPr>
            <w:tcW w:w="658" w:type="pct"/>
            <w:tcBorders>
              <w:top w:val="single" w:color="000000" w:sz="4" w:space="0"/>
              <w:left w:val="single" w:color="000000" w:sz="4" w:space="0"/>
              <w:bottom w:val="single" w:color="000000" w:sz="4" w:space="0"/>
              <w:right w:val="single" w:color="000000" w:sz="4" w:space="0"/>
            </w:tcBorders>
            <w:noWrap/>
            <w:vAlign w:val="center"/>
          </w:tcPr>
          <w:p w14:paraId="2022EF30">
            <w:pPr>
              <w:pageBreakBefore w:val="0"/>
              <w:kinsoku/>
              <w:wordWrap/>
              <w:overflowPunct/>
              <w:autoSpaceDE/>
              <w:autoSpaceDN/>
              <w:bidi w:val="0"/>
              <w:spacing w:line="240" w:lineRule="auto"/>
              <w:jc w:val="right"/>
              <w:rPr>
                <w:rFonts w:hint="eastAsia" w:ascii="宋体" w:hAnsi="宋体" w:eastAsia="宋体" w:cs="宋体"/>
                <w:b/>
                <w:bCs/>
                <w:i w:val="0"/>
                <w:iCs w:val="0"/>
                <w:color w:val="auto"/>
                <w:kern w:val="0"/>
                <w:sz w:val="24"/>
                <w:szCs w:val="24"/>
                <w:highlight w:val="none"/>
                <w:u w:val="none"/>
                <w:lang w:val="en-US" w:eastAsia="zh-CN"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7827448">
            <w:pPr>
              <w:keepNext w:val="0"/>
              <w:keepLines w:val="0"/>
              <w:pageBreakBefore w:val="0"/>
              <w:widowControl/>
              <w:suppressLineNumbers w:val="0"/>
              <w:kinsoku/>
              <w:wordWrap/>
              <w:overflowPunct/>
              <w:autoSpaceDE/>
              <w:autoSpaceDN/>
              <w:bidi w:val="0"/>
              <w:spacing w:line="240" w:lineRule="auto"/>
              <w:jc w:val="right"/>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1600.00</w:t>
            </w:r>
          </w:p>
        </w:tc>
      </w:tr>
    </w:tbl>
    <w:p w14:paraId="1690B75B">
      <w:pPr>
        <w:keepNext w:val="0"/>
        <w:keepLines w:val="0"/>
        <w:pageBreakBefore w:val="0"/>
        <w:kinsoku/>
        <w:overflowPunct/>
        <w:topLinePunct w:val="0"/>
        <w:autoSpaceDE/>
        <w:autoSpaceDN/>
        <w:bidi w:val="0"/>
        <w:spacing w:line="360" w:lineRule="auto"/>
        <w:ind w:firstLine="482" w:firstLineChars="200"/>
        <w:rPr>
          <w:rFonts w:hint="eastAsia" w:ascii="宋体" w:hAnsi="宋体" w:eastAsia="宋体" w:cs="宋体"/>
          <w:b/>
          <w:bCs/>
          <w:color w:val="auto"/>
          <w:sz w:val="24"/>
          <w:szCs w:val="24"/>
          <w:highlight w:val="none"/>
          <w:lang w:val="en-US" w:eastAsia="zh-CN"/>
        </w:rPr>
      </w:pPr>
    </w:p>
    <w:p w14:paraId="505DAF36">
      <w:pPr>
        <w:keepNext w:val="0"/>
        <w:keepLines w:val="0"/>
        <w:pageBreakBefore w:val="0"/>
        <w:kinsoku/>
        <w:overflowPunct/>
        <w:topLinePunct w:val="0"/>
        <w:autoSpaceDE/>
        <w:autoSpaceDN/>
        <w:bidi w:val="0"/>
        <w:spacing w:line="360" w:lineRule="auto"/>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2标段</w:t>
      </w:r>
    </w:p>
    <w:tbl>
      <w:tblPr>
        <w:tblStyle w:val="5"/>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
        <w:gridCol w:w="3061"/>
        <w:gridCol w:w="736"/>
        <w:gridCol w:w="698"/>
        <w:gridCol w:w="1181"/>
        <w:gridCol w:w="2145"/>
      </w:tblGrid>
      <w:tr w14:paraId="6470C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440" w:type="pct"/>
            <w:tcBorders>
              <w:top w:val="single" w:color="000000" w:sz="4" w:space="0"/>
              <w:left w:val="single" w:color="000000" w:sz="4" w:space="0"/>
              <w:bottom w:val="single" w:color="000000" w:sz="4" w:space="0"/>
              <w:right w:val="single" w:color="000000" w:sz="4" w:space="0"/>
            </w:tcBorders>
            <w:noWrap/>
            <w:vAlign w:val="center"/>
          </w:tcPr>
          <w:p w14:paraId="0E17F26C">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2044" w:type="pct"/>
            <w:tcBorders>
              <w:top w:val="single" w:color="000000" w:sz="4" w:space="0"/>
              <w:left w:val="single" w:color="000000" w:sz="4" w:space="0"/>
              <w:bottom w:val="single" w:color="000000" w:sz="4" w:space="0"/>
              <w:right w:val="single" w:color="000000" w:sz="4" w:space="0"/>
            </w:tcBorders>
            <w:noWrap/>
            <w:vAlign w:val="center"/>
          </w:tcPr>
          <w:p w14:paraId="34C05695">
            <w:pPr>
              <w:keepNext w:val="0"/>
              <w:keepLines w:val="0"/>
              <w:pageBreakBefore w:val="0"/>
              <w:widowControl w:val="0"/>
              <w:kinsoku/>
              <w:wordWrap/>
              <w:overflowPunct/>
              <w:topLinePunct/>
              <w:autoSpaceDE/>
              <w:autoSpaceDN/>
              <w:bidi w:val="0"/>
              <w:snapToGrid/>
              <w:spacing w:line="240" w:lineRule="auto"/>
              <w:jc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设备名称</w:t>
            </w:r>
          </w:p>
        </w:tc>
        <w:tc>
          <w:tcPr>
            <w:tcW w:w="578" w:type="pct"/>
            <w:tcBorders>
              <w:top w:val="single" w:color="000000" w:sz="4" w:space="0"/>
              <w:left w:val="single" w:color="000000" w:sz="4" w:space="0"/>
              <w:bottom w:val="single" w:color="000000" w:sz="4" w:space="0"/>
              <w:right w:val="single" w:color="000000" w:sz="4" w:space="0"/>
            </w:tcBorders>
            <w:noWrap/>
            <w:vAlign w:val="center"/>
          </w:tcPr>
          <w:p w14:paraId="3E647B3A">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单位</w:t>
            </w: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16D57867">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56F1500B">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预算单价</w:t>
            </w:r>
          </w:p>
          <w:p w14:paraId="4B79D42C">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（万元）</w:t>
            </w:r>
          </w:p>
        </w:tc>
        <w:tc>
          <w:tcPr>
            <w:tcW w:w="755" w:type="pct"/>
            <w:tcBorders>
              <w:top w:val="single" w:color="000000" w:sz="4" w:space="0"/>
              <w:left w:val="single" w:color="000000" w:sz="4" w:space="0"/>
              <w:bottom w:val="single" w:color="000000" w:sz="4" w:space="0"/>
              <w:right w:val="single" w:color="000000" w:sz="4" w:space="0"/>
            </w:tcBorders>
            <w:noWrap/>
            <w:vAlign w:val="center"/>
          </w:tcPr>
          <w:p w14:paraId="17A6B675">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预算总价（万元）</w:t>
            </w:r>
          </w:p>
        </w:tc>
      </w:tr>
      <w:tr w14:paraId="3FF4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0" w:type="pct"/>
            <w:tcBorders>
              <w:top w:val="single" w:color="000000" w:sz="4" w:space="0"/>
              <w:left w:val="single" w:color="000000" w:sz="4" w:space="0"/>
              <w:bottom w:val="single" w:color="000000" w:sz="4" w:space="0"/>
              <w:right w:val="single" w:color="000000" w:sz="4" w:space="0"/>
            </w:tcBorders>
            <w:noWrap/>
            <w:vAlign w:val="center"/>
          </w:tcPr>
          <w:p w14:paraId="48999BF0">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1</w:t>
            </w:r>
          </w:p>
        </w:tc>
        <w:tc>
          <w:tcPr>
            <w:tcW w:w="2044" w:type="pct"/>
            <w:tcBorders>
              <w:top w:val="single" w:color="000000" w:sz="4" w:space="0"/>
              <w:left w:val="single" w:color="000000" w:sz="4" w:space="0"/>
              <w:bottom w:val="single" w:color="000000" w:sz="4" w:space="0"/>
              <w:right w:val="single" w:color="000000" w:sz="4" w:space="0"/>
            </w:tcBorders>
            <w:noWrap/>
            <w:vAlign w:val="center"/>
          </w:tcPr>
          <w:p w14:paraId="3CC1E13C">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both"/>
              <w:textAlignment w:val="center"/>
              <w:rPr>
                <w:rFonts w:hint="eastAsia" w:ascii="宋体" w:hAnsi="宋体" w:eastAsia="宋体" w:cs="宋体"/>
                <w:b/>
                <w:bCs/>
                <w:i w:val="0"/>
                <w:iCs w:val="0"/>
                <w:color w:val="auto"/>
                <w:sz w:val="24"/>
                <w:szCs w:val="24"/>
                <w:highlight w:val="none"/>
                <w:u w:val="none"/>
                <w:lang w:val="en-US"/>
              </w:rPr>
            </w:pPr>
            <w:r>
              <w:rPr>
                <w:rFonts w:hint="eastAsia" w:ascii="宋体" w:hAnsi="宋体" w:eastAsia="宋体" w:cs="宋体"/>
                <w:b/>
                <w:bCs/>
                <w:i w:val="0"/>
                <w:iCs w:val="0"/>
                <w:color w:val="auto"/>
                <w:kern w:val="0"/>
                <w:sz w:val="24"/>
                <w:szCs w:val="24"/>
                <w:highlight w:val="none"/>
                <w:u w:val="none"/>
                <w:lang w:val="en-US" w:eastAsia="zh-CN" w:bidi="ar"/>
              </w:rPr>
              <w:t>三维模型重建软件</w:t>
            </w:r>
          </w:p>
        </w:tc>
        <w:tc>
          <w:tcPr>
            <w:tcW w:w="578" w:type="pct"/>
            <w:tcBorders>
              <w:top w:val="single" w:color="000000" w:sz="4" w:space="0"/>
              <w:left w:val="single" w:color="000000" w:sz="4" w:space="0"/>
              <w:bottom w:val="single" w:color="000000" w:sz="4" w:space="0"/>
              <w:right w:val="single" w:color="000000" w:sz="4" w:space="0"/>
            </w:tcBorders>
            <w:noWrap/>
            <w:vAlign w:val="center"/>
          </w:tcPr>
          <w:p w14:paraId="0432AF84">
            <w:pPr>
              <w:keepNext w:val="0"/>
              <w:keepLines w:val="0"/>
              <w:pageBreakBefore w:val="0"/>
              <w:widowControl w:val="0"/>
              <w:kinsoku/>
              <w:wordWrap/>
              <w:overflowPunct/>
              <w:topLinePunct/>
              <w:autoSpaceDE/>
              <w:autoSpaceDN/>
              <w:bidi w:val="0"/>
              <w:snapToGrid/>
              <w:spacing w:line="240" w:lineRule="auto"/>
              <w:jc w:val="both"/>
              <w:rPr>
                <w:rFonts w:hint="eastAsia" w:ascii="宋体" w:hAnsi="宋体" w:eastAsia="宋体" w:cs="宋体"/>
                <w:i w:val="0"/>
                <w:iCs w:val="0"/>
                <w:color w:val="auto"/>
                <w:sz w:val="24"/>
                <w:szCs w:val="24"/>
                <w:highlight w:val="none"/>
                <w:u w:val="none"/>
              </w:rPr>
            </w:pP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5C60E0AA">
            <w:pPr>
              <w:keepNext w:val="0"/>
              <w:keepLines w:val="0"/>
              <w:pageBreakBefore w:val="0"/>
              <w:widowControl w:val="0"/>
              <w:kinsoku/>
              <w:wordWrap/>
              <w:overflowPunct/>
              <w:topLinePunct/>
              <w:autoSpaceDE/>
              <w:autoSpaceDN/>
              <w:bidi w:val="0"/>
              <w:snapToGrid/>
              <w:spacing w:line="240" w:lineRule="auto"/>
              <w:jc w:val="both"/>
              <w:rPr>
                <w:rFonts w:hint="eastAsia" w:ascii="宋体" w:hAnsi="宋体" w:eastAsia="宋体" w:cs="宋体"/>
                <w:i w:val="0"/>
                <w:iCs w:val="0"/>
                <w:color w:val="auto"/>
                <w:sz w:val="24"/>
                <w:szCs w:val="24"/>
                <w:highlight w:val="none"/>
                <w:u w:val="none"/>
              </w:rPr>
            </w:pP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58BD5F3D">
            <w:pPr>
              <w:keepNext w:val="0"/>
              <w:keepLines w:val="0"/>
              <w:pageBreakBefore w:val="0"/>
              <w:widowControl w:val="0"/>
              <w:kinsoku/>
              <w:wordWrap/>
              <w:overflowPunct/>
              <w:topLinePunct/>
              <w:autoSpaceDE/>
              <w:autoSpaceDN/>
              <w:bidi w:val="0"/>
              <w:snapToGrid/>
              <w:spacing w:line="240" w:lineRule="auto"/>
              <w:jc w:val="right"/>
              <w:rPr>
                <w:rFonts w:hint="eastAsia" w:ascii="宋体" w:hAnsi="宋体" w:eastAsia="宋体" w:cs="宋体"/>
                <w:b/>
                <w:bCs/>
                <w:i w:val="0"/>
                <w:iCs w:val="0"/>
                <w:color w:val="auto"/>
                <w:sz w:val="24"/>
                <w:szCs w:val="24"/>
                <w:highlight w:val="none"/>
                <w:u w:val="none"/>
              </w:rPr>
            </w:pPr>
          </w:p>
        </w:tc>
        <w:tc>
          <w:tcPr>
            <w:tcW w:w="755" w:type="pct"/>
            <w:tcBorders>
              <w:top w:val="single" w:color="000000" w:sz="4" w:space="0"/>
              <w:left w:val="single" w:color="000000" w:sz="4" w:space="0"/>
              <w:bottom w:val="single" w:color="000000" w:sz="4" w:space="0"/>
              <w:right w:val="single" w:color="000000" w:sz="4" w:space="0"/>
            </w:tcBorders>
            <w:noWrap/>
            <w:vAlign w:val="center"/>
          </w:tcPr>
          <w:p w14:paraId="3505A16E">
            <w:pPr>
              <w:keepNext w:val="0"/>
              <w:keepLines w:val="0"/>
              <w:pageBreakBefore w:val="0"/>
              <w:widowControl w:val="0"/>
              <w:suppressLineNumbers w:val="0"/>
              <w:kinsoku/>
              <w:wordWrap/>
              <w:overflowPunct/>
              <w:topLinePunct/>
              <w:autoSpaceDE/>
              <w:autoSpaceDN/>
              <w:bidi w:val="0"/>
              <w:snapToGrid/>
              <w:spacing w:line="240" w:lineRule="auto"/>
              <w:jc w:val="right"/>
              <w:textAlignment w:val="center"/>
              <w:rPr>
                <w:rFonts w:hint="eastAsia" w:ascii="宋体" w:hAnsi="宋体" w:eastAsia="宋体" w:cs="宋体"/>
                <w:b/>
                <w:bCs/>
                <w:i w:val="0"/>
                <w:iCs w:val="0"/>
                <w:color w:val="auto"/>
                <w:sz w:val="24"/>
                <w:szCs w:val="24"/>
                <w:highlight w:val="none"/>
                <w:u w:val="none"/>
                <w:lang w:val="en-US"/>
              </w:rPr>
            </w:pPr>
            <w:r>
              <w:rPr>
                <w:rFonts w:hint="eastAsia" w:ascii="宋体" w:hAnsi="宋体" w:eastAsia="宋体" w:cs="宋体"/>
                <w:b/>
                <w:bCs/>
                <w:i w:val="0"/>
                <w:iCs w:val="0"/>
                <w:color w:val="auto"/>
                <w:kern w:val="0"/>
                <w:sz w:val="24"/>
                <w:szCs w:val="24"/>
                <w:highlight w:val="none"/>
                <w:u w:val="none"/>
                <w:lang w:val="en-US" w:eastAsia="zh-CN" w:bidi="ar"/>
              </w:rPr>
              <w:t>30.00</w:t>
            </w:r>
          </w:p>
        </w:tc>
      </w:tr>
      <w:tr w14:paraId="41A94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0" w:type="pct"/>
            <w:tcBorders>
              <w:top w:val="single" w:color="000000" w:sz="4" w:space="0"/>
              <w:left w:val="single" w:color="000000" w:sz="4" w:space="0"/>
              <w:bottom w:val="single" w:color="000000" w:sz="4" w:space="0"/>
              <w:right w:val="single" w:color="000000" w:sz="4" w:space="0"/>
            </w:tcBorders>
            <w:noWrap/>
            <w:vAlign w:val="center"/>
          </w:tcPr>
          <w:p w14:paraId="25ECCCFF">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2044" w:type="pct"/>
            <w:tcBorders>
              <w:top w:val="single" w:color="000000" w:sz="4" w:space="0"/>
              <w:left w:val="single" w:color="000000" w:sz="4" w:space="0"/>
              <w:bottom w:val="single" w:color="000000" w:sz="4" w:space="0"/>
              <w:right w:val="single" w:color="000000" w:sz="4" w:space="0"/>
            </w:tcBorders>
            <w:noWrap/>
            <w:vAlign w:val="center"/>
          </w:tcPr>
          <w:p w14:paraId="08A983CB">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实景三维模型重建软件</w:t>
            </w:r>
          </w:p>
        </w:tc>
        <w:tc>
          <w:tcPr>
            <w:tcW w:w="578" w:type="pct"/>
            <w:tcBorders>
              <w:top w:val="single" w:color="000000" w:sz="4" w:space="0"/>
              <w:left w:val="single" w:color="000000" w:sz="4" w:space="0"/>
              <w:bottom w:val="single" w:color="000000" w:sz="4" w:space="0"/>
              <w:right w:val="single" w:color="000000" w:sz="4" w:space="0"/>
            </w:tcBorders>
            <w:noWrap/>
            <w:vAlign w:val="center"/>
          </w:tcPr>
          <w:p w14:paraId="6529A693">
            <w:pPr>
              <w:keepNext w:val="0"/>
              <w:keepLines w:val="0"/>
              <w:pageBreakBefore w:val="0"/>
              <w:widowControl/>
              <w:suppressLineNumbers w:val="0"/>
              <w:kinsoku/>
              <w:wordWrap/>
              <w:overflowPunct/>
              <w:autoSpaceDE/>
              <w:autoSpaceDN/>
              <w:bidi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2C6B9D11">
            <w:pPr>
              <w:keepNext w:val="0"/>
              <w:keepLines w:val="0"/>
              <w:pageBreakBefore w:val="0"/>
              <w:widowControl w:val="0"/>
              <w:suppressLineNumbers w:val="0"/>
              <w:kinsoku/>
              <w:wordWrap/>
              <w:overflowPunct/>
              <w:topLinePunct/>
              <w:autoSpaceDE/>
              <w:autoSpaceDN/>
              <w:bidi w:val="0"/>
              <w:snapToGrid/>
              <w:spacing w:line="240" w:lineRule="auto"/>
              <w:ind w:firstLineChars="10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37952788">
            <w:pPr>
              <w:keepNext w:val="0"/>
              <w:keepLines w:val="0"/>
              <w:pageBreakBefore w:val="0"/>
              <w:widowControl w:val="0"/>
              <w:suppressLineNumbers w:val="0"/>
              <w:kinsoku/>
              <w:wordWrap/>
              <w:overflowPunct/>
              <w:topLinePunct/>
              <w:autoSpaceDE/>
              <w:autoSpaceDN/>
              <w:bidi w:val="0"/>
              <w:snapToGrid/>
              <w:spacing w:line="240" w:lineRule="auto"/>
              <w:ind w:firstLineChars="200"/>
              <w:jc w:val="righ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10</w:t>
            </w:r>
          </w:p>
        </w:tc>
        <w:tc>
          <w:tcPr>
            <w:tcW w:w="755" w:type="pct"/>
            <w:tcBorders>
              <w:top w:val="single" w:color="000000" w:sz="4" w:space="0"/>
              <w:left w:val="single" w:color="000000" w:sz="4" w:space="0"/>
              <w:bottom w:val="single" w:color="000000" w:sz="4" w:space="0"/>
              <w:right w:val="single" w:color="000000" w:sz="4" w:space="0"/>
            </w:tcBorders>
            <w:noWrap/>
            <w:vAlign w:val="center"/>
          </w:tcPr>
          <w:p w14:paraId="59966289">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30.00</w:t>
            </w:r>
          </w:p>
        </w:tc>
      </w:tr>
      <w:tr w14:paraId="3B577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0" w:type="pct"/>
            <w:tcBorders>
              <w:top w:val="single" w:color="000000" w:sz="4" w:space="0"/>
              <w:left w:val="single" w:color="000000" w:sz="4" w:space="0"/>
              <w:bottom w:val="single" w:color="000000" w:sz="4" w:space="0"/>
              <w:right w:val="single" w:color="000000" w:sz="4" w:space="0"/>
            </w:tcBorders>
            <w:noWrap/>
            <w:vAlign w:val="center"/>
          </w:tcPr>
          <w:p w14:paraId="402CF31F">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2</w:t>
            </w:r>
          </w:p>
        </w:tc>
        <w:tc>
          <w:tcPr>
            <w:tcW w:w="2044" w:type="pct"/>
            <w:tcBorders>
              <w:top w:val="single" w:color="000000" w:sz="4" w:space="0"/>
              <w:left w:val="single" w:color="000000" w:sz="4" w:space="0"/>
              <w:bottom w:val="single" w:color="000000" w:sz="4" w:space="0"/>
              <w:right w:val="single" w:color="000000" w:sz="4" w:space="0"/>
            </w:tcBorders>
            <w:noWrap/>
            <w:vAlign w:val="center"/>
          </w:tcPr>
          <w:p w14:paraId="59D7719F">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both"/>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数据处理一体机</w:t>
            </w:r>
          </w:p>
        </w:tc>
        <w:tc>
          <w:tcPr>
            <w:tcW w:w="578" w:type="pct"/>
            <w:tcBorders>
              <w:top w:val="single" w:color="000000" w:sz="4" w:space="0"/>
              <w:left w:val="single" w:color="000000" w:sz="4" w:space="0"/>
              <w:bottom w:val="single" w:color="000000" w:sz="4" w:space="0"/>
              <w:right w:val="single" w:color="000000" w:sz="4" w:space="0"/>
            </w:tcBorders>
            <w:noWrap/>
            <w:vAlign w:val="center"/>
          </w:tcPr>
          <w:p w14:paraId="056390D3">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both"/>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779E8356">
            <w:pPr>
              <w:keepNext w:val="0"/>
              <w:keepLines w:val="0"/>
              <w:pageBreakBefore w:val="0"/>
              <w:widowControl w:val="0"/>
              <w:suppressLineNumbers w:val="0"/>
              <w:kinsoku/>
              <w:wordWrap/>
              <w:overflowPunct/>
              <w:topLinePunct/>
              <w:autoSpaceDE/>
              <w:autoSpaceDN/>
              <w:bidi w:val="0"/>
              <w:snapToGrid/>
              <w:spacing w:line="240" w:lineRule="auto"/>
              <w:ind w:firstLineChars="10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71807652">
            <w:pPr>
              <w:keepNext w:val="0"/>
              <w:keepLines w:val="0"/>
              <w:pageBreakBefore w:val="0"/>
              <w:widowControl w:val="0"/>
              <w:suppressLineNumbers w:val="0"/>
              <w:kinsoku/>
              <w:wordWrap/>
              <w:overflowPunct/>
              <w:topLinePunct/>
              <w:autoSpaceDE/>
              <w:autoSpaceDN/>
              <w:bidi w:val="0"/>
              <w:snapToGrid/>
              <w:spacing w:line="240" w:lineRule="auto"/>
              <w:ind w:firstLineChars="200"/>
              <w:jc w:val="right"/>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755" w:type="pct"/>
            <w:tcBorders>
              <w:top w:val="single" w:color="000000" w:sz="4" w:space="0"/>
              <w:left w:val="single" w:color="000000" w:sz="4" w:space="0"/>
              <w:bottom w:val="single" w:color="000000" w:sz="4" w:space="0"/>
              <w:right w:val="single" w:color="000000" w:sz="4" w:space="0"/>
            </w:tcBorders>
            <w:noWrap/>
            <w:vAlign w:val="center"/>
          </w:tcPr>
          <w:p w14:paraId="0EDE5F0E">
            <w:pPr>
              <w:keepNext w:val="0"/>
              <w:keepLines w:val="0"/>
              <w:pageBreakBefore w:val="0"/>
              <w:widowControl w:val="0"/>
              <w:suppressLineNumbers w:val="0"/>
              <w:kinsoku/>
              <w:wordWrap/>
              <w:overflowPunct/>
              <w:topLinePunct/>
              <w:autoSpaceDE/>
              <w:autoSpaceDN/>
              <w:bidi w:val="0"/>
              <w:snapToGrid/>
              <w:spacing w:line="240" w:lineRule="auto"/>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288.00</w:t>
            </w:r>
          </w:p>
        </w:tc>
      </w:tr>
      <w:tr w14:paraId="40CCB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40" w:type="pct"/>
            <w:tcBorders>
              <w:top w:val="single" w:color="000000" w:sz="4" w:space="0"/>
              <w:left w:val="single" w:color="000000" w:sz="4" w:space="0"/>
              <w:bottom w:val="single" w:color="000000" w:sz="4" w:space="0"/>
              <w:right w:val="single" w:color="000000" w:sz="4" w:space="0"/>
            </w:tcBorders>
            <w:noWrap/>
            <w:vAlign w:val="center"/>
          </w:tcPr>
          <w:p w14:paraId="2229681A">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2044" w:type="pct"/>
            <w:tcBorders>
              <w:top w:val="single" w:color="000000" w:sz="4" w:space="0"/>
              <w:left w:val="single" w:color="000000" w:sz="4" w:space="0"/>
              <w:bottom w:val="single" w:color="000000" w:sz="4" w:space="0"/>
              <w:right w:val="single" w:color="000000" w:sz="4" w:space="0"/>
            </w:tcBorders>
            <w:noWrap/>
            <w:vAlign w:val="center"/>
          </w:tcPr>
          <w:p w14:paraId="08416216">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数据处理一体机</w:t>
            </w:r>
          </w:p>
        </w:tc>
        <w:tc>
          <w:tcPr>
            <w:tcW w:w="578" w:type="pct"/>
            <w:tcBorders>
              <w:top w:val="single" w:color="000000" w:sz="4" w:space="0"/>
              <w:left w:val="single" w:color="000000" w:sz="4" w:space="0"/>
              <w:bottom w:val="single" w:color="000000" w:sz="4" w:space="0"/>
              <w:right w:val="single" w:color="000000" w:sz="4" w:space="0"/>
            </w:tcBorders>
            <w:noWrap/>
            <w:vAlign w:val="center"/>
          </w:tcPr>
          <w:p w14:paraId="3F38C34C">
            <w:pPr>
              <w:keepNext w:val="0"/>
              <w:keepLines w:val="0"/>
              <w:pageBreakBefore w:val="0"/>
              <w:widowControl/>
              <w:suppressLineNumbers w:val="0"/>
              <w:kinsoku/>
              <w:wordWrap/>
              <w:overflowPunct/>
              <w:autoSpaceDE/>
              <w:autoSpaceDN/>
              <w:bidi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套</w:t>
            </w: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6FA082D3">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2F50D1A4">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96.00 </w:t>
            </w:r>
          </w:p>
        </w:tc>
        <w:tc>
          <w:tcPr>
            <w:tcW w:w="755" w:type="pct"/>
            <w:tcBorders>
              <w:top w:val="single" w:color="000000" w:sz="4" w:space="0"/>
              <w:left w:val="single" w:color="000000" w:sz="4" w:space="0"/>
              <w:bottom w:val="single" w:color="000000" w:sz="4" w:space="0"/>
              <w:right w:val="single" w:color="000000" w:sz="4" w:space="0"/>
            </w:tcBorders>
            <w:noWrap/>
            <w:vAlign w:val="center"/>
          </w:tcPr>
          <w:p w14:paraId="731A7366">
            <w:pPr>
              <w:keepNext w:val="0"/>
              <w:keepLines w:val="0"/>
              <w:pageBreakBefore w:val="0"/>
              <w:widowControl/>
              <w:suppressLineNumbers w:val="0"/>
              <w:kinsoku/>
              <w:wordWrap/>
              <w:overflowPunct/>
              <w:autoSpaceDE/>
              <w:autoSpaceDN/>
              <w:bidi w:val="0"/>
              <w:jc w:val="righ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288.00 </w:t>
            </w:r>
          </w:p>
        </w:tc>
      </w:tr>
      <w:tr w14:paraId="2142B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jc w:val="center"/>
        </w:trPr>
        <w:tc>
          <w:tcPr>
            <w:tcW w:w="2484" w:type="pct"/>
            <w:gridSpan w:val="2"/>
            <w:tcBorders>
              <w:top w:val="single" w:color="000000" w:sz="4" w:space="0"/>
              <w:left w:val="single" w:color="000000" w:sz="4" w:space="0"/>
              <w:bottom w:val="single" w:color="000000" w:sz="4" w:space="0"/>
              <w:right w:val="single" w:color="000000" w:sz="4" w:space="0"/>
            </w:tcBorders>
            <w:noWrap/>
            <w:vAlign w:val="center"/>
          </w:tcPr>
          <w:p w14:paraId="6B854A7A">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both"/>
              <w:textAlignment w:val="center"/>
              <w:rPr>
                <w:rFonts w:hint="eastAsia" w:ascii="宋体" w:hAnsi="宋体" w:eastAsia="宋体" w:cs="宋体"/>
                <w:b/>
                <w:bCs/>
                <w:i w:val="0"/>
                <w:iCs w:val="0"/>
                <w:color w:val="auto"/>
                <w:sz w:val="24"/>
                <w:szCs w:val="24"/>
                <w:highlight w:val="none"/>
                <w:u w:val="none"/>
                <w:lang w:val="en-US" w:eastAsia="zh-CN"/>
              </w:rPr>
            </w:pPr>
            <w:r>
              <w:rPr>
                <w:rFonts w:hint="eastAsia" w:ascii="宋体" w:hAnsi="宋体" w:eastAsia="宋体" w:cs="宋体"/>
                <w:b/>
                <w:bCs/>
                <w:i w:val="0"/>
                <w:iCs w:val="0"/>
                <w:color w:val="auto"/>
                <w:sz w:val="24"/>
                <w:szCs w:val="24"/>
                <w:highlight w:val="none"/>
                <w:u w:val="none"/>
                <w:lang w:val="en-US" w:eastAsia="zh-CN"/>
              </w:rPr>
              <w:t>合计</w:t>
            </w:r>
          </w:p>
        </w:tc>
        <w:tc>
          <w:tcPr>
            <w:tcW w:w="578" w:type="pct"/>
            <w:tcBorders>
              <w:top w:val="single" w:color="000000" w:sz="4" w:space="0"/>
              <w:left w:val="single" w:color="000000" w:sz="4" w:space="0"/>
              <w:bottom w:val="single" w:color="000000" w:sz="4" w:space="0"/>
              <w:right w:val="single" w:color="000000" w:sz="4" w:space="0"/>
            </w:tcBorders>
            <w:noWrap/>
            <w:vAlign w:val="center"/>
          </w:tcPr>
          <w:p w14:paraId="50768C3F">
            <w:pPr>
              <w:keepNext w:val="0"/>
              <w:keepLines w:val="0"/>
              <w:pageBreakBefore w:val="0"/>
              <w:widowControl w:val="0"/>
              <w:suppressLineNumbers w:val="0"/>
              <w:kinsoku/>
              <w:wordWrap/>
              <w:overflowPunct/>
              <w:topLinePunct/>
              <w:autoSpaceDE/>
              <w:autoSpaceDN/>
              <w:bidi w:val="0"/>
              <w:snapToGrid/>
              <w:spacing w:line="240" w:lineRule="auto"/>
              <w:ind w:left="0" w:leftChars="0" w:firstLine="0" w:firstLineChars="0"/>
              <w:jc w:val="both"/>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20C18E2F">
            <w:pPr>
              <w:keepNext w:val="0"/>
              <w:keepLines w:val="0"/>
              <w:pageBreakBefore w:val="0"/>
              <w:widowControl w:val="0"/>
              <w:suppressLineNumbers w:val="0"/>
              <w:kinsoku/>
              <w:wordWrap/>
              <w:overflowPunct/>
              <w:topLinePunct/>
              <w:autoSpaceDE/>
              <w:autoSpaceDN/>
              <w:bidi w:val="0"/>
              <w:snapToGrid/>
              <w:spacing w:line="240" w:lineRule="auto"/>
              <w:ind w:firstLineChars="100"/>
              <w:jc w:val="both"/>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6</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3CB43ADE">
            <w:pPr>
              <w:keepNext w:val="0"/>
              <w:keepLines w:val="0"/>
              <w:pageBreakBefore w:val="0"/>
              <w:widowControl w:val="0"/>
              <w:suppressLineNumbers w:val="0"/>
              <w:kinsoku/>
              <w:wordWrap/>
              <w:overflowPunct/>
              <w:topLinePunct/>
              <w:autoSpaceDE/>
              <w:autoSpaceDN/>
              <w:bidi w:val="0"/>
              <w:snapToGrid/>
              <w:spacing w:line="240" w:lineRule="auto"/>
              <w:ind w:firstLineChars="200"/>
              <w:jc w:val="right"/>
              <w:textAlignment w:val="center"/>
              <w:rPr>
                <w:rFonts w:hint="eastAsia" w:ascii="宋体" w:hAnsi="宋体" w:eastAsia="宋体" w:cs="宋体"/>
                <w:b/>
                <w:bCs/>
                <w:i w:val="0"/>
                <w:iCs w:val="0"/>
                <w:color w:val="auto"/>
                <w:sz w:val="24"/>
                <w:szCs w:val="24"/>
                <w:highlight w:val="none"/>
                <w:u w:val="none"/>
              </w:rPr>
            </w:pPr>
          </w:p>
        </w:tc>
        <w:tc>
          <w:tcPr>
            <w:tcW w:w="755" w:type="pct"/>
            <w:tcBorders>
              <w:top w:val="single" w:color="000000" w:sz="4" w:space="0"/>
              <w:left w:val="single" w:color="000000" w:sz="4" w:space="0"/>
              <w:bottom w:val="single" w:color="000000" w:sz="4" w:space="0"/>
              <w:right w:val="single" w:color="000000" w:sz="4" w:space="0"/>
            </w:tcBorders>
            <w:noWrap/>
            <w:vAlign w:val="center"/>
          </w:tcPr>
          <w:p w14:paraId="68A61D01">
            <w:pPr>
              <w:keepNext w:val="0"/>
              <w:keepLines w:val="0"/>
              <w:pageBreakBefore w:val="0"/>
              <w:widowControl w:val="0"/>
              <w:suppressLineNumbers w:val="0"/>
              <w:kinsoku/>
              <w:wordWrap/>
              <w:overflowPunct/>
              <w:topLinePunct/>
              <w:autoSpaceDE/>
              <w:autoSpaceDN/>
              <w:bidi w:val="0"/>
              <w:snapToGrid/>
              <w:spacing w:line="240" w:lineRule="auto"/>
              <w:jc w:val="right"/>
              <w:textAlignment w:val="center"/>
              <w:rPr>
                <w:rFonts w:hint="eastAsia" w:ascii="宋体" w:hAnsi="宋体" w:eastAsia="宋体" w:cs="宋体"/>
                <w:b/>
                <w:bCs/>
                <w:i w:val="0"/>
                <w:iCs w:val="0"/>
                <w:color w:val="auto"/>
                <w:sz w:val="24"/>
                <w:szCs w:val="24"/>
                <w:highlight w:val="none"/>
                <w:u w:val="none"/>
                <w:lang w:val="en-US" w:eastAsia="zh-CN"/>
              </w:rPr>
            </w:pPr>
            <w:r>
              <w:rPr>
                <w:rFonts w:hint="eastAsia" w:ascii="宋体" w:hAnsi="宋体" w:eastAsia="宋体" w:cs="宋体"/>
                <w:b/>
                <w:bCs/>
                <w:i w:val="0"/>
                <w:iCs w:val="0"/>
                <w:color w:val="auto"/>
                <w:sz w:val="24"/>
                <w:szCs w:val="24"/>
                <w:highlight w:val="none"/>
                <w:u w:val="none"/>
                <w:lang w:val="en-US" w:eastAsia="zh-CN"/>
              </w:rPr>
              <w:t>318.00</w:t>
            </w:r>
          </w:p>
        </w:tc>
      </w:tr>
    </w:tbl>
    <w:p w14:paraId="07E0BF35">
      <w:pPr>
        <w:keepNext w:val="0"/>
        <w:keepLines w:val="0"/>
        <w:pageBreakBefore w:val="0"/>
        <w:kinsoku/>
        <w:overflowPunct/>
        <w:topLinePunct w:val="0"/>
        <w:autoSpaceDE/>
        <w:autoSpaceDN/>
        <w:bidi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Fonts w:hint="eastAsia" w:ascii="宋体" w:hAnsi="宋体" w:cs="宋体"/>
          <w:b/>
          <w:bCs/>
          <w:color w:val="auto"/>
          <w:sz w:val="24"/>
          <w:highlight w:val="none"/>
        </w:rPr>
        <w:t>备注：（1）本次采购</w:t>
      </w:r>
      <w:r>
        <w:rPr>
          <w:rFonts w:hint="eastAsia" w:ascii="宋体" w:hAnsi="宋体" w:cs="宋体"/>
          <w:b/>
          <w:bCs/>
          <w:color w:val="auto"/>
          <w:sz w:val="24"/>
          <w:highlight w:val="none"/>
          <w:lang w:val="en-US" w:eastAsia="zh-CN"/>
        </w:rPr>
        <w:t>不</w:t>
      </w:r>
      <w:r>
        <w:rPr>
          <w:rFonts w:hint="eastAsia" w:ascii="宋体" w:hAnsi="宋体" w:cs="宋体"/>
          <w:b/>
          <w:bCs/>
          <w:color w:val="auto"/>
          <w:sz w:val="24"/>
          <w:highlight w:val="none"/>
        </w:rPr>
        <w:t>接受进口产品投标，进口产品是指通过中国海关报关验放进入中国境内且产自关境外的产品。（2）本项目</w:t>
      </w:r>
      <w:r>
        <w:rPr>
          <w:rFonts w:hint="eastAsia" w:ascii="宋体" w:hAnsi="宋体" w:cs="宋体"/>
          <w:b/>
          <w:bCs/>
          <w:color w:val="auto"/>
          <w:sz w:val="24"/>
          <w:highlight w:val="none"/>
          <w:lang w:val="en-US" w:eastAsia="zh-CN"/>
        </w:rPr>
        <w:t>1标段</w:t>
      </w:r>
      <w:r>
        <w:rPr>
          <w:rFonts w:hint="eastAsia" w:ascii="宋体" w:hAnsi="宋体" w:cs="宋体"/>
          <w:b/>
          <w:bCs/>
          <w:color w:val="auto"/>
          <w:sz w:val="24"/>
          <w:highlight w:val="none"/>
        </w:rPr>
        <w:t>核心产品为：</w:t>
      </w:r>
      <w:r>
        <w:rPr>
          <w:rFonts w:hint="eastAsia" w:ascii="宋体" w:hAnsi="宋体" w:cs="宋体"/>
          <w:b/>
          <w:bCs/>
          <w:color w:val="auto"/>
          <w:sz w:val="24"/>
          <w:highlight w:val="none"/>
          <w:lang w:eastAsia="zh-CN"/>
        </w:rPr>
        <w:t>高光谱采集仪；</w:t>
      </w:r>
      <w:r>
        <w:rPr>
          <w:rFonts w:hint="eastAsia" w:ascii="宋体" w:hAnsi="宋体" w:cs="宋体"/>
          <w:b/>
          <w:bCs/>
          <w:color w:val="auto"/>
          <w:sz w:val="24"/>
          <w:highlight w:val="none"/>
          <w:lang w:val="en-US" w:eastAsia="zh-CN"/>
        </w:rPr>
        <w:t>2标段核心产品为：数据处理一体机。</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u w:val="none"/>
        </w:rPr>
        <w:t>技术要求详见附件《技术参数要求》。</w:t>
      </w:r>
      <w:r>
        <w:rPr>
          <w:rFonts w:hint="eastAsia" w:ascii="宋体" w:hAnsi="宋体" w:cs="宋体"/>
          <w:b/>
          <w:bCs/>
          <w:color w:val="auto"/>
          <w:sz w:val="24"/>
          <w:highlight w:val="none"/>
          <w:u w:val="none"/>
          <w:lang w:eastAsia="zh-CN"/>
        </w:rPr>
        <w:t>（</w:t>
      </w:r>
      <w:r>
        <w:rPr>
          <w:rFonts w:hint="eastAsia" w:ascii="宋体" w:hAnsi="宋体" w:cs="宋体"/>
          <w:b/>
          <w:bCs/>
          <w:color w:val="auto"/>
          <w:sz w:val="24"/>
          <w:highlight w:val="none"/>
          <w:u w:val="none"/>
          <w:lang w:val="en-US" w:eastAsia="zh-CN"/>
        </w:rPr>
        <w:t>4</w:t>
      </w:r>
      <w:r>
        <w:rPr>
          <w:rFonts w:hint="eastAsia" w:ascii="宋体" w:hAnsi="宋体" w:cs="宋体"/>
          <w:b/>
          <w:bCs/>
          <w:color w:val="auto"/>
          <w:sz w:val="24"/>
          <w:highlight w:val="none"/>
          <w:u w:val="none"/>
          <w:lang w:eastAsia="zh-CN"/>
        </w:rPr>
        <w:t>）</w:t>
      </w:r>
      <w:r>
        <w:rPr>
          <w:rFonts w:hint="eastAsia" w:ascii="宋体" w:hAnsi="宋体" w:cs="宋体"/>
          <w:b/>
          <w:bCs/>
          <w:color w:val="auto"/>
          <w:sz w:val="24"/>
          <w:highlight w:val="none"/>
          <w:u w:val="none"/>
        </w:rPr>
        <w:t>投标人可选择对一个或多个标段进行投标，为保障供货及售后服务质量，同一投标人只允许中标</w:t>
      </w:r>
      <w:r>
        <w:rPr>
          <w:rFonts w:hint="eastAsia" w:ascii="宋体" w:hAnsi="宋体" w:cs="宋体"/>
          <w:b/>
          <w:bCs/>
          <w:color w:val="auto"/>
          <w:sz w:val="24"/>
          <w:highlight w:val="none"/>
          <w:u w:val="none"/>
          <w:lang w:val="en-US" w:eastAsia="zh-CN"/>
        </w:rPr>
        <w:t>1</w:t>
      </w:r>
      <w:r>
        <w:rPr>
          <w:rFonts w:hint="eastAsia" w:ascii="宋体" w:hAnsi="宋体" w:cs="宋体"/>
          <w:b/>
          <w:bCs/>
          <w:color w:val="auto"/>
          <w:sz w:val="24"/>
          <w:highlight w:val="none"/>
          <w:u w:val="none"/>
        </w:rPr>
        <w:t>个标段。评标顺序按1标段至</w:t>
      </w:r>
      <w:r>
        <w:rPr>
          <w:rFonts w:hint="eastAsia" w:ascii="宋体" w:hAnsi="宋体" w:cs="宋体"/>
          <w:b/>
          <w:bCs/>
          <w:color w:val="auto"/>
          <w:sz w:val="24"/>
          <w:highlight w:val="none"/>
          <w:u w:val="none"/>
          <w:lang w:val="en-US" w:eastAsia="zh-CN"/>
        </w:rPr>
        <w:t>2</w:t>
      </w:r>
      <w:r>
        <w:rPr>
          <w:rFonts w:hint="eastAsia" w:ascii="宋体" w:hAnsi="宋体" w:cs="宋体"/>
          <w:b/>
          <w:bCs/>
          <w:color w:val="auto"/>
          <w:sz w:val="24"/>
          <w:highlight w:val="none"/>
          <w:u w:val="none"/>
        </w:rPr>
        <w:t>标段的顺序进行，投标人参与的标段按顺序评审过程中，一旦被推荐为第一中标候选人，后续标段评审中若评审得分依旧最高，也不再被推荐为第一中标候选人。</w:t>
      </w:r>
    </w:p>
    <w:p w14:paraId="5B79E7B8">
      <w:pPr>
        <w:keepNext w:val="0"/>
        <w:keepLines w:val="0"/>
        <w:pageBreakBefore w:val="0"/>
        <w:kinsoku/>
        <w:overflowPunct/>
        <w:topLinePunct w:val="0"/>
        <w:autoSpaceDE/>
        <w:autoSpaceDN/>
        <w:bidi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合同履行期限</w:t>
      </w:r>
      <w:r>
        <w:rPr>
          <w:rFonts w:hint="eastAsia" w:ascii="宋体" w:hAnsi="宋体" w:eastAsia="宋体" w:cs="宋体"/>
          <w:color w:val="auto"/>
          <w:sz w:val="24"/>
          <w:highlight w:val="none"/>
        </w:rPr>
        <w:t>：</w:t>
      </w:r>
      <w:r>
        <w:rPr>
          <w:rFonts w:hint="eastAsia" w:ascii="宋体" w:hAnsi="宋体" w:cs="宋体"/>
          <w:color w:val="auto"/>
          <w:sz w:val="24"/>
          <w:highlight w:val="none"/>
        </w:rPr>
        <w:t>交货及安装调试期</w:t>
      </w:r>
      <w:r>
        <w:rPr>
          <w:rFonts w:hint="eastAsia" w:ascii="宋体" w:hAnsi="宋体" w:cs="宋体"/>
          <w:color w:val="auto"/>
          <w:sz w:val="24"/>
          <w:highlight w:val="none"/>
          <w:lang w:eastAsia="zh-CN"/>
        </w:rPr>
        <w:t>：自合同签订之日起45个日历天</w:t>
      </w:r>
      <w:r>
        <w:rPr>
          <w:rFonts w:hint="eastAsia" w:ascii="宋体" w:hAnsi="宋体" w:cs="宋体"/>
          <w:color w:val="auto"/>
          <w:sz w:val="24"/>
          <w:highlight w:val="none"/>
        </w:rPr>
        <w:t>内</w:t>
      </w:r>
      <w:r>
        <w:rPr>
          <w:rFonts w:hint="eastAsia"/>
          <w:color w:val="auto"/>
          <w:sz w:val="24"/>
          <w:highlight w:val="none"/>
        </w:rPr>
        <w:t>完成全部设备供货、进场安装、调试、试运行、整体交付，达到验收标准</w:t>
      </w:r>
      <w:r>
        <w:rPr>
          <w:rFonts w:hint="eastAsia"/>
          <w:color w:val="auto"/>
          <w:sz w:val="24"/>
          <w:highlight w:val="none"/>
          <w:lang w:eastAsia="zh-CN"/>
        </w:rPr>
        <w:t>。</w:t>
      </w:r>
      <w:r>
        <w:rPr>
          <w:rFonts w:hint="eastAsia" w:ascii="宋体" w:hAnsi="宋体" w:cs="宋体"/>
          <w:color w:val="auto"/>
          <w:sz w:val="24"/>
          <w:highlight w:val="none"/>
        </w:rPr>
        <w:t>免费质保期：自</w:t>
      </w:r>
      <w:r>
        <w:rPr>
          <w:rFonts w:hint="eastAsia" w:ascii="宋体" w:hAnsi="宋体" w:cs="宋体"/>
          <w:color w:val="auto"/>
          <w:sz w:val="24"/>
          <w:highlight w:val="none"/>
          <w:lang w:val="en-US" w:eastAsia="zh-CN"/>
        </w:rPr>
        <w:t>标段</w:t>
      </w:r>
      <w:r>
        <w:rPr>
          <w:rFonts w:hint="eastAsia" w:ascii="宋体" w:hAnsi="宋体" w:cs="宋体"/>
          <w:color w:val="auto"/>
          <w:sz w:val="24"/>
          <w:highlight w:val="none"/>
        </w:rPr>
        <w:t>整体验收合格之日起不少于</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年。招标文件第五章</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采购需求</w:t>
      </w:r>
      <w:r>
        <w:rPr>
          <w:rFonts w:hint="eastAsia" w:ascii="宋体" w:hAnsi="宋体" w:cs="宋体"/>
          <w:color w:val="auto"/>
          <w:sz w:val="24"/>
          <w:highlight w:val="none"/>
          <w:lang w:eastAsia="zh-CN"/>
        </w:rPr>
        <w:t>”</w:t>
      </w:r>
      <w:r>
        <w:rPr>
          <w:rFonts w:hint="eastAsia" w:ascii="宋体" w:hAnsi="宋体" w:cs="宋体"/>
          <w:color w:val="auto"/>
          <w:sz w:val="24"/>
          <w:highlight w:val="none"/>
        </w:rPr>
        <w:t>对交货期及免费质保期另有要求的，</w:t>
      </w:r>
      <w:r>
        <w:rPr>
          <w:rFonts w:hint="eastAsia" w:ascii="宋体" w:hAnsi="宋体" w:cs="宋体"/>
          <w:color w:val="auto"/>
          <w:sz w:val="24"/>
          <w:highlight w:val="none"/>
          <w:lang w:val="en-US" w:eastAsia="zh-CN"/>
        </w:rPr>
        <w:t>按其</w:t>
      </w:r>
      <w:r>
        <w:rPr>
          <w:rFonts w:hint="eastAsia" w:ascii="宋体" w:hAnsi="宋体" w:cs="宋体"/>
          <w:color w:val="auto"/>
          <w:sz w:val="24"/>
          <w:highlight w:val="none"/>
        </w:rPr>
        <w:t>要求执行。</w:t>
      </w:r>
    </w:p>
    <w:p w14:paraId="1659916D">
      <w:pPr>
        <w:keepNext w:val="0"/>
        <w:keepLines w:val="0"/>
        <w:pageBreakBefore w:val="0"/>
        <w:kinsoku/>
        <w:overflowPunct/>
        <w:topLinePunct w:val="0"/>
        <w:autoSpaceDE/>
        <w:autoSpaceDN/>
        <w:bidi w:val="0"/>
        <w:spacing w:line="360" w:lineRule="auto"/>
        <w:ind w:firstLine="480" w:firstLineChars="200"/>
        <w:rPr>
          <w:rFonts w:hint="eastAsia" w:ascii="宋体" w:hAnsi="宋体" w:cs="宋体"/>
          <w:b/>
          <w:bCs/>
          <w:color w:val="auto"/>
          <w:sz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.本项目</w:t>
      </w:r>
      <w:r>
        <w:rPr>
          <w:rFonts w:hint="eastAsia" w:ascii="宋体" w:hAnsi="宋体" w:eastAsia="宋体" w:cs="宋体"/>
          <w:b/>
          <w:bCs/>
          <w:color w:val="auto"/>
          <w:sz w:val="24"/>
          <w:szCs w:val="24"/>
          <w:highlight w:val="none"/>
          <w:u w:val="single"/>
        </w:rPr>
        <w:t xml:space="preserve"> 不接受 </w:t>
      </w:r>
      <w:r>
        <w:rPr>
          <w:rFonts w:hint="eastAsia" w:ascii="宋体" w:hAnsi="宋体" w:eastAsia="宋体" w:cs="宋体"/>
          <w:color w:val="auto"/>
          <w:sz w:val="24"/>
          <w:szCs w:val="24"/>
          <w:highlight w:val="none"/>
        </w:rPr>
        <w:t>联合体投标</w:t>
      </w:r>
      <w:r>
        <w:rPr>
          <w:rFonts w:hint="eastAsia" w:ascii="宋体" w:hAnsi="宋体" w:cs="宋体"/>
          <w:color w:val="auto"/>
          <w:sz w:val="24"/>
          <w:highlight w:val="none"/>
        </w:rPr>
        <w:t>。</w:t>
      </w:r>
    </w:p>
    <w:p w14:paraId="4A39F34C">
      <w:pPr>
        <w:pStyle w:val="4"/>
        <w:keepNext w:val="0"/>
        <w:keepLines w:val="0"/>
        <w:pageBreakBefore w:val="0"/>
        <w:numPr>
          <w:ilvl w:val="0"/>
          <w:numId w:val="0"/>
        </w:numPr>
        <w:tabs>
          <w:tab w:val="clear" w:pos="1588"/>
        </w:tabs>
        <w:kinsoku/>
        <w:overflowPunct/>
        <w:topLinePunct w:val="0"/>
        <w:autoSpaceDE/>
        <w:autoSpaceDN/>
        <w:bidi w:val="0"/>
        <w:spacing w:before="0" w:line="360" w:lineRule="auto"/>
        <w:rPr>
          <w:rFonts w:hint="eastAsia" w:ascii="宋体" w:hAnsi="宋体" w:eastAsia="宋体" w:cs="Times New Roman"/>
          <w:color w:val="auto"/>
          <w:sz w:val="24"/>
          <w:szCs w:val="24"/>
          <w:highlight w:val="none"/>
          <w:lang w:val="en-US" w:eastAsia="zh-CN"/>
        </w:rPr>
      </w:pPr>
      <w:bookmarkStart w:id="7" w:name="_Toc28359080"/>
      <w:bookmarkStart w:id="8" w:name="_Toc35393622"/>
      <w:bookmarkStart w:id="9" w:name="_Toc4071"/>
      <w:bookmarkStart w:id="10" w:name="_Toc35393791"/>
      <w:bookmarkStart w:id="11" w:name="_Toc28359003"/>
      <w:r>
        <w:rPr>
          <w:rFonts w:hint="eastAsia" w:ascii="宋体" w:hAnsi="宋体" w:eastAsia="宋体" w:cs="Times New Roman"/>
          <w:color w:val="auto"/>
          <w:sz w:val="24"/>
          <w:szCs w:val="24"/>
          <w:highlight w:val="none"/>
          <w:lang w:val="en-US" w:eastAsia="zh-CN"/>
        </w:rPr>
        <w:t>二、申请人的资格要求</w:t>
      </w:r>
      <w:bookmarkEnd w:id="7"/>
      <w:bookmarkEnd w:id="8"/>
      <w:bookmarkEnd w:id="9"/>
      <w:bookmarkEnd w:id="10"/>
      <w:bookmarkEnd w:id="11"/>
    </w:p>
    <w:p w14:paraId="55E8DC6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auto"/>
          <w:sz w:val="24"/>
          <w:szCs w:val="24"/>
          <w:highlight w:val="none"/>
          <w:u w:val="none"/>
        </w:rPr>
      </w:pPr>
      <w:bookmarkStart w:id="12" w:name="_Toc16424"/>
      <w:bookmarkStart w:id="13" w:name="_Toc35393792"/>
      <w:bookmarkStart w:id="14" w:name="_Toc35393623"/>
      <w:bookmarkStart w:id="15" w:name="_Toc28359004"/>
      <w:bookmarkStart w:id="16" w:name="_Toc28359081"/>
      <w:r>
        <w:rPr>
          <w:rFonts w:hint="eastAsia" w:ascii="宋体" w:hAnsi="宋体" w:eastAsia="宋体" w:cs="宋体"/>
          <w:b/>
          <w:bCs/>
          <w:color w:val="auto"/>
          <w:sz w:val="24"/>
          <w:szCs w:val="24"/>
          <w:highlight w:val="none"/>
          <w:u w:val="none"/>
        </w:rPr>
        <w:t>1.满足《中华人民共和国政府采购法》第二十二条规定</w:t>
      </w:r>
      <w:bookmarkEnd w:id="12"/>
      <w:r>
        <w:rPr>
          <w:rFonts w:hint="eastAsia" w:ascii="宋体" w:hAnsi="宋体" w:eastAsia="宋体" w:cs="宋体"/>
          <w:b/>
          <w:bCs/>
          <w:color w:val="auto"/>
          <w:sz w:val="24"/>
          <w:szCs w:val="24"/>
          <w:highlight w:val="none"/>
          <w:u w:val="none"/>
          <w:lang w:eastAsia="zh-CN"/>
        </w:rPr>
        <w:t>；</w:t>
      </w:r>
      <w:r>
        <w:rPr>
          <w:rFonts w:hint="eastAsia" w:ascii="宋体" w:hAnsi="宋体" w:cs="宋体"/>
          <w:b/>
          <w:bCs/>
          <w:color w:val="auto"/>
          <w:sz w:val="24"/>
          <w:highlight w:val="none"/>
        </w:rPr>
        <w:t>符合《中华人民共和国政府采购法实施条例》第十八条规定。</w:t>
      </w:r>
    </w:p>
    <w:p w14:paraId="50D4A3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u w:val="none"/>
        </w:rPr>
      </w:pPr>
      <w:r>
        <w:rPr>
          <w:rFonts w:hint="eastAsia" w:ascii="宋体" w:hAnsi="宋体" w:eastAsia="宋体" w:cs="宋体"/>
          <w:b w:val="0"/>
          <w:bCs w:val="0"/>
          <w:color w:val="auto"/>
          <w:sz w:val="24"/>
          <w:szCs w:val="24"/>
          <w:highlight w:val="none"/>
          <w:u w:val="none"/>
        </w:rPr>
        <w:t>1.1</w:t>
      </w:r>
      <w:r>
        <w:rPr>
          <w:rFonts w:hint="eastAsia" w:ascii="宋体" w:hAnsi="宋体" w:eastAsia="宋体" w:cs="宋体"/>
          <w:b w:val="0"/>
          <w:bCs w:val="0"/>
          <w:color w:val="auto"/>
          <w:kern w:val="0"/>
          <w:sz w:val="24"/>
          <w:szCs w:val="24"/>
          <w:highlight w:val="none"/>
          <w:u w:val="none"/>
        </w:rPr>
        <w:t>具有独立承担民事责任的能力：</w:t>
      </w:r>
      <w:r>
        <w:rPr>
          <w:rFonts w:hint="eastAsia" w:ascii="宋体" w:hAnsi="宋体" w:eastAsia="宋体" w:cs="宋体"/>
          <w:b w:val="0"/>
          <w:bCs w:val="0"/>
          <w:color w:val="auto"/>
          <w:kern w:val="0"/>
          <w:sz w:val="24"/>
          <w:szCs w:val="24"/>
          <w:highlight w:val="none"/>
          <w:u w:val="none"/>
          <w:lang w:val="en-US" w:eastAsia="zh-CN"/>
        </w:rPr>
        <w:t>投标人</w:t>
      </w:r>
      <w:r>
        <w:rPr>
          <w:rFonts w:hint="eastAsia" w:ascii="宋体" w:hAnsi="宋体" w:eastAsia="宋体" w:cs="宋体"/>
          <w:b w:val="0"/>
          <w:bCs w:val="0"/>
          <w:color w:val="auto"/>
          <w:kern w:val="0"/>
          <w:sz w:val="24"/>
          <w:szCs w:val="24"/>
          <w:highlight w:val="none"/>
          <w:u w:val="none"/>
        </w:rPr>
        <w:t>为法人、其他组织或者自然人，提供有效的营业执照或事业单位法人证书或民办非企业登记证书或执业许可证或社会团体登记证或自然人身份证明</w:t>
      </w:r>
      <w:r>
        <w:rPr>
          <w:rFonts w:hint="eastAsia" w:ascii="宋体" w:hAnsi="宋体" w:eastAsia="宋体" w:cs="宋体"/>
          <w:b w:val="0"/>
          <w:bCs w:val="0"/>
          <w:color w:val="auto"/>
          <w:kern w:val="0"/>
          <w:sz w:val="24"/>
          <w:szCs w:val="24"/>
          <w:highlight w:val="none"/>
          <w:u w:val="none"/>
          <w:lang w:eastAsia="zh-CN"/>
        </w:rPr>
        <w:t>（复印件并加盖公章）</w:t>
      </w:r>
      <w:r>
        <w:rPr>
          <w:rFonts w:hint="eastAsia" w:ascii="宋体" w:hAnsi="宋体" w:eastAsia="宋体" w:cs="宋体"/>
          <w:b w:val="0"/>
          <w:bCs w:val="0"/>
          <w:color w:val="auto"/>
          <w:kern w:val="0"/>
          <w:sz w:val="24"/>
          <w:szCs w:val="24"/>
          <w:highlight w:val="none"/>
          <w:u w:val="none"/>
        </w:rPr>
        <w:t>；</w:t>
      </w:r>
      <w:r>
        <w:rPr>
          <w:rFonts w:hint="eastAsia" w:ascii="宋体" w:hAnsi="宋体" w:eastAsia="宋体" w:cs="宋体"/>
          <w:b w:val="0"/>
          <w:bCs w:val="0"/>
          <w:color w:val="auto"/>
          <w:sz w:val="24"/>
          <w:szCs w:val="24"/>
          <w:highlight w:val="none"/>
          <w:u w:val="none"/>
        </w:rPr>
        <w:t>（①若</w:t>
      </w:r>
      <w:r>
        <w:rPr>
          <w:rFonts w:hint="eastAsia" w:ascii="宋体" w:hAnsi="宋体" w:eastAsia="宋体" w:cs="宋体"/>
          <w:b w:val="0"/>
          <w:bCs w:val="0"/>
          <w:color w:val="auto"/>
          <w:kern w:val="0"/>
          <w:sz w:val="24"/>
          <w:szCs w:val="24"/>
          <w:highlight w:val="none"/>
          <w:u w:val="none"/>
          <w:lang w:val="en-US" w:eastAsia="zh-CN"/>
        </w:rPr>
        <w:t>投标人</w:t>
      </w:r>
      <w:r>
        <w:rPr>
          <w:rFonts w:hint="eastAsia" w:ascii="宋体" w:hAnsi="宋体" w:eastAsia="宋体" w:cs="宋体"/>
          <w:b w:val="0"/>
          <w:bCs w:val="0"/>
          <w:color w:val="auto"/>
          <w:sz w:val="24"/>
          <w:szCs w:val="24"/>
          <w:highlight w:val="none"/>
          <w:u w:val="none"/>
        </w:rPr>
        <w:t>是企业，提供有效的“营业执照”；②若</w:t>
      </w:r>
      <w:r>
        <w:rPr>
          <w:rFonts w:hint="eastAsia" w:ascii="宋体" w:hAnsi="宋体" w:eastAsia="宋体" w:cs="宋体"/>
          <w:b w:val="0"/>
          <w:bCs w:val="0"/>
          <w:color w:val="auto"/>
          <w:sz w:val="24"/>
          <w:szCs w:val="24"/>
          <w:highlight w:val="none"/>
          <w:u w:val="none"/>
          <w:lang w:val="en-US" w:eastAsia="zh-CN"/>
        </w:rPr>
        <w:t>投标人</w:t>
      </w:r>
      <w:r>
        <w:rPr>
          <w:rFonts w:hint="eastAsia" w:ascii="宋体" w:hAnsi="宋体" w:eastAsia="宋体" w:cs="宋体"/>
          <w:b w:val="0"/>
          <w:bCs w:val="0"/>
          <w:color w:val="auto"/>
          <w:sz w:val="24"/>
          <w:szCs w:val="24"/>
          <w:highlight w:val="none"/>
          <w:u w:val="none"/>
        </w:rPr>
        <w:t>是事业单位，提供有效的“事业单位法人证书”；③若</w:t>
      </w:r>
      <w:r>
        <w:rPr>
          <w:rFonts w:hint="eastAsia" w:ascii="宋体" w:hAnsi="宋体" w:eastAsia="宋体" w:cs="宋体"/>
          <w:b w:val="0"/>
          <w:bCs w:val="0"/>
          <w:color w:val="auto"/>
          <w:kern w:val="0"/>
          <w:sz w:val="24"/>
          <w:szCs w:val="24"/>
          <w:highlight w:val="none"/>
          <w:u w:val="none"/>
          <w:lang w:val="en-US" w:eastAsia="zh-CN"/>
        </w:rPr>
        <w:t>投标人</w:t>
      </w:r>
      <w:r>
        <w:rPr>
          <w:rFonts w:hint="eastAsia" w:ascii="宋体" w:hAnsi="宋体" w:eastAsia="宋体" w:cs="宋体"/>
          <w:b w:val="0"/>
          <w:bCs w:val="0"/>
          <w:color w:val="auto"/>
          <w:sz w:val="24"/>
          <w:szCs w:val="24"/>
          <w:highlight w:val="none"/>
          <w:u w:val="none"/>
        </w:rPr>
        <w:t>是非企业专业服务机构的，提供有效的法定证明文件；④若</w:t>
      </w:r>
      <w:r>
        <w:rPr>
          <w:rFonts w:hint="eastAsia" w:ascii="宋体" w:hAnsi="宋体" w:eastAsia="宋体" w:cs="宋体"/>
          <w:b w:val="0"/>
          <w:bCs w:val="0"/>
          <w:color w:val="auto"/>
          <w:kern w:val="0"/>
          <w:sz w:val="24"/>
          <w:szCs w:val="24"/>
          <w:highlight w:val="none"/>
          <w:u w:val="none"/>
          <w:lang w:val="en-US" w:eastAsia="zh-CN"/>
        </w:rPr>
        <w:t>投标人</w:t>
      </w:r>
      <w:r>
        <w:rPr>
          <w:rFonts w:hint="eastAsia" w:ascii="宋体" w:hAnsi="宋体" w:eastAsia="宋体" w:cs="宋体"/>
          <w:b w:val="0"/>
          <w:bCs w:val="0"/>
          <w:color w:val="auto"/>
          <w:sz w:val="24"/>
          <w:szCs w:val="24"/>
          <w:highlight w:val="none"/>
          <w:u w:val="none"/>
        </w:rPr>
        <w:t>是个体工商户，提供有效的“个体工商户营业执照”；⑤若</w:t>
      </w:r>
      <w:r>
        <w:rPr>
          <w:rFonts w:hint="eastAsia" w:ascii="宋体" w:hAnsi="宋体" w:eastAsia="宋体" w:cs="宋体"/>
          <w:b w:val="0"/>
          <w:bCs w:val="0"/>
          <w:color w:val="auto"/>
          <w:sz w:val="24"/>
          <w:szCs w:val="24"/>
          <w:highlight w:val="none"/>
          <w:u w:val="none"/>
          <w:lang w:val="en-US" w:eastAsia="zh-CN"/>
        </w:rPr>
        <w:t>投标人</w:t>
      </w:r>
      <w:r>
        <w:rPr>
          <w:rFonts w:hint="eastAsia" w:ascii="宋体" w:hAnsi="宋体" w:eastAsia="宋体" w:cs="宋体"/>
          <w:b w:val="0"/>
          <w:bCs w:val="0"/>
          <w:color w:val="auto"/>
          <w:sz w:val="24"/>
          <w:szCs w:val="24"/>
          <w:highlight w:val="none"/>
          <w:u w:val="none"/>
        </w:rPr>
        <w:t>是自然人，提供有效的自然人身份证明）。</w:t>
      </w:r>
    </w:p>
    <w:p w14:paraId="2D95F7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1.2具有良好的商业信誉和健全的财务会计制度：</w:t>
      </w:r>
    </w:p>
    <w:p w14:paraId="3CDAF6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1.2.1具有良好的商业信誉：</w:t>
      </w:r>
      <w:r>
        <w:rPr>
          <w:rFonts w:hint="eastAsia" w:ascii="宋体" w:hAnsi="宋体" w:eastAsia="宋体" w:cs="宋体"/>
          <w:b w:val="0"/>
          <w:bCs w:val="0"/>
          <w:color w:val="auto"/>
          <w:kern w:val="0"/>
          <w:sz w:val="24"/>
          <w:szCs w:val="24"/>
          <w:highlight w:val="none"/>
          <w:u w:val="none"/>
          <w:lang w:val="en-US" w:eastAsia="zh-CN"/>
        </w:rPr>
        <w:t>投标人</w:t>
      </w:r>
      <w:r>
        <w:rPr>
          <w:rFonts w:hint="eastAsia" w:ascii="宋体" w:hAnsi="宋体" w:eastAsia="宋体" w:cs="宋体"/>
          <w:b w:val="0"/>
          <w:bCs w:val="0"/>
          <w:color w:val="auto"/>
          <w:sz w:val="24"/>
          <w:szCs w:val="24"/>
          <w:highlight w:val="none"/>
          <w:u w:val="none"/>
        </w:rPr>
        <w:t>在本项目提交</w:t>
      </w:r>
      <w:r>
        <w:rPr>
          <w:rFonts w:hint="eastAsia" w:ascii="宋体" w:hAnsi="宋体" w:eastAsia="宋体" w:cs="宋体"/>
          <w:b w:val="0"/>
          <w:bCs w:val="0"/>
          <w:color w:val="auto"/>
          <w:sz w:val="24"/>
          <w:szCs w:val="24"/>
          <w:highlight w:val="none"/>
          <w:u w:val="none"/>
          <w:lang w:eastAsia="zh-CN"/>
        </w:rPr>
        <w:t>投标文件</w:t>
      </w:r>
      <w:r>
        <w:rPr>
          <w:rFonts w:hint="eastAsia" w:ascii="宋体" w:hAnsi="宋体" w:eastAsia="宋体" w:cs="宋体"/>
          <w:b w:val="0"/>
          <w:bCs w:val="0"/>
          <w:color w:val="auto"/>
          <w:sz w:val="24"/>
          <w:szCs w:val="24"/>
          <w:highlight w:val="none"/>
          <w:u w:val="none"/>
        </w:rPr>
        <w:t>截止时间前，在</w:t>
      </w:r>
      <w:r>
        <w:rPr>
          <w:rFonts w:hint="eastAsia" w:ascii="宋体" w:hAnsi="宋体" w:eastAsia="宋体" w:cs="宋体"/>
          <w:b w:val="0"/>
          <w:bCs w:val="0"/>
          <w:color w:val="auto"/>
          <w:sz w:val="24"/>
          <w:szCs w:val="24"/>
          <w:highlight w:val="none"/>
          <w:u w:val="none"/>
          <w:lang w:eastAsia="zh-CN"/>
        </w:rPr>
        <w:t>“中国政府采购网”（www.ccgp.gov.cn）</w:t>
      </w:r>
      <w:r>
        <w:rPr>
          <w:rFonts w:hint="eastAsia" w:ascii="宋体" w:hAnsi="宋体" w:eastAsia="宋体" w:cs="宋体"/>
          <w:b w:val="0"/>
          <w:bCs w:val="0"/>
          <w:color w:val="auto"/>
          <w:sz w:val="24"/>
          <w:szCs w:val="24"/>
          <w:highlight w:val="none"/>
          <w:u w:val="none"/>
        </w:rPr>
        <w:t>政府采购严重违法失信行为记录名单内无不良信息记录</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在</w:t>
      </w:r>
      <w:r>
        <w:rPr>
          <w:rFonts w:hint="eastAsia" w:ascii="宋体" w:hAnsi="宋体" w:eastAsia="宋体" w:cs="宋体"/>
          <w:b w:val="0"/>
          <w:bCs w:val="0"/>
          <w:color w:val="auto"/>
          <w:sz w:val="24"/>
          <w:szCs w:val="24"/>
          <w:highlight w:val="none"/>
          <w:u w:val="none"/>
          <w:lang w:eastAsia="zh-CN"/>
        </w:rPr>
        <w:t>“信用中国”（www.creditchina.gov.cn）网站</w:t>
      </w:r>
      <w:r>
        <w:rPr>
          <w:rFonts w:hint="eastAsia" w:ascii="宋体" w:hAnsi="宋体" w:eastAsia="宋体" w:cs="宋体"/>
          <w:b w:val="0"/>
          <w:bCs w:val="0"/>
          <w:color w:val="auto"/>
          <w:sz w:val="24"/>
          <w:szCs w:val="24"/>
          <w:highlight w:val="none"/>
          <w:u w:val="none"/>
        </w:rPr>
        <w:t>查询的“失信被执行人（按网站要求链接到中国执行信息网（http</w:t>
      </w:r>
      <w:r>
        <w:rPr>
          <w:rFonts w:hint="eastAsia" w:ascii="宋体" w:hAnsi="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//zxgk.court.gov.cn/shixin/）查询）、重大税收违法失信主体”未出现不良信用信息记录（查询结果以采购人、采购代理机构查询结果为准</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此部分投标人无需提供</w:t>
      </w:r>
      <w:r>
        <w:rPr>
          <w:rFonts w:hint="eastAsia" w:ascii="宋体" w:hAnsi="宋体" w:eastAsia="宋体" w:cs="宋体"/>
          <w:b w:val="0"/>
          <w:bCs w:val="0"/>
          <w:color w:val="auto"/>
          <w:sz w:val="24"/>
          <w:szCs w:val="24"/>
          <w:highlight w:val="none"/>
          <w:u w:val="none"/>
        </w:rPr>
        <w:t>）</w:t>
      </w:r>
      <w:r>
        <w:rPr>
          <w:rFonts w:hint="eastAsia" w:ascii="宋体" w:hAnsi="宋体" w:cs="宋体"/>
          <w:b w:val="0"/>
          <w:bCs w:val="0"/>
          <w:color w:val="auto"/>
          <w:sz w:val="24"/>
          <w:szCs w:val="24"/>
          <w:highlight w:val="none"/>
          <w:u w:val="none"/>
          <w:lang w:eastAsia="zh-CN"/>
        </w:rPr>
        <w:t>。</w:t>
      </w:r>
    </w:p>
    <w:p w14:paraId="301B8A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u w:val="none"/>
          <w:lang w:eastAsia="zh-CN"/>
        </w:rPr>
      </w:pPr>
      <w:r>
        <w:rPr>
          <w:rFonts w:hint="eastAsia" w:ascii="宋体" w:hAnsi="宋体" w:eastAsia="宋体" w:cs="宋体"/>
          <w:b w:val="0"/>
          <w:bCs w:val="0"/>
          <w:color w:val="auto"/>
          <w:sz w:val="24"/>
          <w:szCs w:val="24"/>
          <w:highlight w:val="none"/>
          <w:u w:val="none"/>
        </w:rPr>
        <w:t>1.2.2</w:t>
      </w:r>
      <w:r>
        <w:rPr>
          <w:rFonts w:hint="eastAsia" w:ascii="宋体" w:hAnsi="宋体" w:eastAsia="宋体" w:cs="宋体"/>
          <w:b w:val="0"/>
          <w:bCs w:val="0"/>
          <w:color w:val="auto"/>
          <w:kern w:val="0"/>
          <w:sz w:val="24"/>
          <w:szCs w:val="24"/>
          <w:highlight w:val="none"/>
          <w:u w:val="none"/>
        </w:rPr>
        <w:t>具有健全的财务会计制度</w:t>
      </w:r>
      <w:r>
        <w:rPr>
          <w:rFonts w:hint="eastAsia" w:ascii="宋体" w:hAnsi="宋体" w:cs="宋体"/>
          <w:b w:val="0"/>
          <w:bCs w:val="0"/>
          <w:color w:val="auto"/>
          <w:kern w:val="0"/>
          <w:sz w:val="24"/>
          <w:szCs w:val="24"/>
          <w:highlight w:val="none"/>
          <w:u w:val="none"/>
          <w:lang w:eastAsia="zh-CN"/>
        </w:rPr>
        <w:t>：提供202</w:t>
      </w:r>
      <w:r>
        <w:rPr>
          <w:rFonts w:hint="eastAsia" w:ascii="宋体" w:hAnsi="宋体" w:cs="宋体"/>
          <w:b w:val="0"/>
          <w:bCs w:val="0"/>
          <w:color w:val="auto"/>
          <w:kern w:val="0"/>
          <w:sz w:val="24"/>
          <w:szCs w:val="24"/>
          <w:highlight w:val="none"/>
          <w:u w:val="none"/>
          <w:lang w:val="en-US" w:eastAsia="zh-CN"/>
        </w:rPr>
        <w:t>5</w:t>
      </w:r>
      <w:r>
        <w:rPr>
          <w:rFonts w:hint="eastAsia" w:ascii="宋体" w:hAnsi="宋体" w:cs="宋体"/>
          <w:b w:val="0"/>
          <w:bCs w:val="0"/>
          <w:color w:val="auto"/>
          <w:kern w:val="0"/>
          <w:sz w:val="24"/>
          <w:szCs w:val="24"/>
          <w:highlight w:val="none"/>
          <w:u w:val="none"/>
          <w:lang w:eastAsia="zh-CN"/>
        </w:rPr>
        <w:t>年经审计的财务会计报告及报表（</w:t>
      </w:r>
      <w:r>
        <w:rPr>
          <w:rFonts w:hint="eastAsia" w:ascii="宋体" w:hAnsi="宋体" w:cs="宋体"/>
          <w:b w:val="0"/>
          <w:bCs w:val="0"/>
          <w:color w:val="auto"/>
          <w:kern w:val="0"/>
          <w:sz w:val="24"/>
          <w:szCs w:val="24"/>
          <w:highlight w:val="none"/>
          <w:u w:val="none"/>
          <w:lang w:val="en-US" w:eastAsia="zh-CN"/>
        </w:rPr>
        <w:t>报表</w:t>
      </w:r>
      <w:r>
        <w:rPr>
          <w:rFonts w:hint="eastAsia" w:ascii="宋体" w:hAnsi="宋体" w:cs="宋体"/>
          <w:b w:val="0"/>
          <w:bCs w:val="0"/>
          <w:color w:val="auto"/>
          <w:kern w:val="0"/>
          <w:sz w:val="24"/>
          <w:szCs w:val="24"/>
          <w:highlight w:val="none"/>
          <w:u w:val="none"/>
          <w:lang w:eastAsia="zh-CN"/>
        </w:rPr>
        <w:t>至少包括：资产负债表、利润表、现金流量表</w:t>
      </w:r>
      <w:r>
        <w:rPr>
          <w:rFonts w:hint="eastAsia" w:ascii="宋体" w:hAnsi="宋体" w:cs="宋体"/>
          <w:b w:val="0"/>
          <w:bCs w:val="0"/>
          <w:color w:val="auto"/>
          <w:kern w:val="0"/>
          <w:sz w:val="24"/>
          <w:szCs w:val="24"/>
          <w:highlight w:val="none"/>
          <w:u w:val="none"/>
          <w:lang w:val="en-US" w:eastAsia="zh-CN"/>
        </w:rPr>
        <w:t>及附注，复印件并加盖公章</w:t>
      </w:r>
      <w:r>
        <w:rPr>
          <w:rFonts w:hint="eastAsia" w:ascii="宋体" w:hAnsi="宋体" w:cs="宋体"/>
          <w:b w:val="0"/>
          <w:bCs w:val="0"/>
          <w:color w:val="auto"/>
          <w:kern w:val="0"/>
          <w:sz w:val="24"/>
          <w:szCs w:val="24"/>
          <w:highlight w:val="none"/>
          <w:u w:val="none"/>
          <w:lang w:eastAsia="zh-CN"/>
        </w:rPr>
        <w:t>）；新成立</w:t>
      </w:r>
      <w:r>
        <w:rPr>
          <w:rFonts w:hint="eastAsia" w:ascii="宋体" w:hAnsi="宋体" w:cs="宋体"/>
          <w:b w:val="0"/>
          <w:bCs w:val="0"/>
          <w:color w:val="auto"/>
          <w:kern w:val="0"/>
          <w:sz w:val="24"/>
          <w:szCs w:val="24"/>
          <w:highlight w:val="none"/>
          <w:u w:val="none"/>
          <w:lang w:val="en-US" w:eastAsia="zh-CN"/>
        </w:rPr>
        <w:t>的投标人</w:t>
      </w:r>
      <w:r>
        <w:rPr>
          <w:rFonts w:hint="eastAsia" w:ascii="宋体" w:hAnsi="宋体" w:cs="宋体"/>
          <w:b w:val="0"/>
          <w:bCs w:val="0"/>
          <w:color w:val="auto"/>
          <w:kern w:val="0"/>
          <w:sz w:val="24"/>
          <w:szCs w:val="24"/>
          <w:highlight w:val="none"/>
          <w:u w:val="none"/>
          <w:lang w:eastAsia="zh-CN"/>
        </w:rPr>
        <w:t>，若成立时间至本项目提交</w:t>
      </w:r>
      <w:r>
        <w:rPr>
          <w:rFonts w:hint="eastAsia" w:ascii="宋体" w:hAnsi="宋体" w:cs="宋体"/>
          <w:b w:val="0"/>
          <w:bCs w:val="0"/>
          <w:color w:val="auto"/>
          <w:kern w:val="0"/>
          <w:sz w:val="24"/>
          <w:szCs w:val="24"/>
          <w:highlight w:val="none"/>
          <w:u w:val="none"/>
          <w:lang w:val="en-US" w:eastAsia="zh-CN"/>
        </w:rPr>
        <w:t>投标</w:t>
      </w:r>
      <w:r>
        <w:rPr>
          <w:rFonts w:hint="eastAsia" w:ascii="宋体" w:hAnsi="宋体" w:cs="宋体"/>
          <w:b w:val="0"/>
          <w:bCs w:val="0"/>
          <w:color w:val="auto"/>
          <w:kern w:val="0"/>
          <w:sz w:val="24"/>
          <w:szCs w:val="24"/>
          <w:highlight w:val="none"/>
          <w:u w:val="none"/>
          <w:lang w:eastAsia="zh-CN"/>
        </w:rPr>
        <w:t>文件截止时间不满1年的可提供成立至今的财务报表</w:t>
      </w:r>
      <w:r>
        <w:rPr>
          <w:rFonts w:hint="eastAsia" w:ascii="宋体" w:hAnsi="宋体" w:eastAsia="宋体" w:cs="宋体"/>
          <w:b w:val="0"/>
          <w:bCs w:val="0"/>
          <w:color w:val="auto"/>
          <w:kern w:val="0"/>
          <w:sz w:val="24"/>
          <w:szCs w:val="24"/>
          <w:highlight w:val="none"/>
          <w:u w:val="none"/>
          <w:lang w:eastAsia="zh-CN"/>
        </w:rPr>
        <w:t>（复印件并加盖公章）</w:t>
      </w:r>
      <w:r>
        <w:rPr>
          <w:rFonts w:hint="eastAsia" w:ascii="宋体" w:hAnsi="宋体" w:cs="宋体"/>
          <w:b w:val="0"/>
          <w:bCs w:val="0"/>
          <w:color w:val="auto"/>
          <w:kern w:val="0"/>
          <w:sz w:val="24"/>
          <w:szCs w:val="24"/>
          <w:highlight w:val="none"/>
          <w:u w:val="none"/>
          <w:lang w:val="en-US" w:eastAsia="zh-CN"/>
        </w:rPr>
        <w:t>或</w:t>
      </w:r>
      <w:r>
        <w:rPr>
          <w:rFonts w:hint="eastAsia" w:ascii="宋体" w:hAnsi="宋体" w:eastAsia="宋体" w:cs="宋体"/>
          <w:b w:val="0"/>
          <w:bCs w:val="0"/>
          <w:color w:val="auto"/>
          <w:kern w:val="0"/>
          <w:sz w:val="24"/>
          <w:szCs w:val="24"/>
          <w:highlight w:val="none"/>
          <w:u w:val="none"/>
          <w:lang w:eastAsia="zh-CN"/>
        </w:rPr>
        <w:t>提交投标文件截止时间前三个月内</w:t>
      </w:r>
      <w:r>
        <w:rPr>
          <w:rFonts w:hint="eastAsia" w:ascii="宋体" w:hAnsi="宋体" w:eastAsia="宋体" w:cs="宋体"/>
          <w:b w:val="0"/>
          <w:bCs w:val="0"/>
          <w:color w:val="auto"/>
          <w:sz w:val="24"/>
          <w:szCs w:val="24"/>
          <w:highlight w:val="none"/>
          <w:lang w:val="en-US" w:eastAsia="zh-CN"/>
        </w:rPr>
        <w:t>开户银行出具的资信证明或资金存款证明</w:t>
      </w:r>
      <w:r>
        <w:rPr>
          <w:rFonts w:hint="eastAsia" w:ascii="宋体" w:hAnsi="宋体" w:eastAsia="宋体" w:cs="宋体"/>
          <w:b w:val="0"/>
          <w:bCs w:val="0"/>
          <w:color w:val="auto"/>
          <w:kern w:val="0"/>
          <w:sz w:val="24"/>
          <w:szCs w:val="24"/>
          <w:highlight w:val="none"/>
          <w:u w:val="none"/>
          <w:lang w:eastAsia="zh-CN"/>
        </w:rPr>
        <w:t>（复印件并加盖公章）</w:t>
      </w:r>
      <w:r>
        <w:rPr>
          <w:rFonts w:hint="eastAsia" w:ascii="宋体" w:hAnsi="宋体" w:eastAsia="宋体" w:cs="宋体"/>
          <w:b w:val="0"/>
          <w:bCs w:val="0"/>
          <w:color w:val="auto"/>
          <w:sz w:val="24"/>
          <w:szCs w:val="24"/>
          <w:highlight w:val="none"/>
          <w:lang w:val="en-US" w:eastAsia="zh-CN"/>
        </w:rPr>
        <w:t>。</w:t>
      </w:r>
    </w:p>
    <w:p w14:paraId="399724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1.3</w:t>
      </w:r>
      <w:r>
        <w:rPr>
          <w:rFonts w:hint="eastAsia" w:ascii="宋体" w:hAnsi="宋体" w:eastAsia="宋体" w:cs="宋体"/>
          <w:b w:val="0"/>
          <w:bCs w:val="0"/>
          <w:color w:val="auto"/>
          <w:kern w:val="0"/>
          <w:sz w:val="24"/>
          <w:szCs w:val="24"/>
          <w:highlight w:val="none"/>
          <w:u w:val="none"/>
          <w:lang w:val="en-US" w:eastAsia="zh-CN"/>
        </w:rPr>
        <w:t>投标人</w:t>
      </w:r>
      <w:r>
        <w:rPr>
          <w:rFonts w:hint="eastAsia" w:ascii="宋体" w:hAnsi="宋体" w:cs="宋体"/>
          <w:b w:val="0"/>
          <w:bCs w:val="0"/>
          <w:color w:val="auto"/>
          <w:sz w:val="24"/>
          <w:szCs w:val="24"/>
          <w:highlight w:val="none"/>
          <w:u w:val="none"/>
          <w:lang w:eastAsia="zh-CN"/>
        </w:rPr>
        <w:t>须具有履行合同所必需的设备和专业技术能力，提供承诺或其他证明材料（</w:t>
      </w:r>
      <w:r>
        <w:rPr>
          <w:rFonts w:hint="eastAsia" w:ascii="宋体" w:hAnsi="宋体" w:cs="宋体"/>
          <w:b w:val="0"/>
          <w:bCs w:val="0"/>
          <w:color w:val="auto"/>
          <w:sz w:val="24"/>
          <w:szCs w:val="24"/>
          <w:highlight w:val="none"/>
          <w:u w:val="none"/>
          <w:lang w:val="en-US" w:eastAsia="zh-CN"/>
        </w:rPr>
        <w:t>原件加盖公章</w:t>
      </w:r>
      <w:r>
        <w:rPr>
          <w:rFonts w:hint="eastAsia" w:ascii="宋体" w:hAnsi="宋体" w:cs="宋体"/>
          <w:b w:val="0"/>
          <w:bCs w:val="0"/>
          <w:color w:val="auto"/>
          <w:sz w:val="24"/>
          <w:szCs w:val="24"/>
          <w:highlight w:val="none"/>
          <w:u w:val="none"/>
          <w:lang w:eastAsia="zh-CN"/>
        </w:rPr>
        <w:t>）。</w:t>
      </w:r>
    </w:p>
    <w:p w14:paraId="2AC17D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1.4具有依法缴纳税收和社会保障资金的良好记录：</w:t>
      </w:r>
    </w:p>
    <w:p w14:paraId="764F6A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eastAsia="zh-CN"/>
        </w:rPr>
      </w:pPr>
      <w:r>
        <w:rPr>
          <w:rFonts w:hint="eastAsia" w:ascii="宋体" w:hAnsi="宋体" w:cs="宋体"/>
          <w:b w:val="0"/>
          <w:bCs w:val="0"/>
          <w:color w:val="auto"/>
          <w:sz w:val="24"/>
          <w:highlight w:val="none"/>
          <w:lang w:eastAsia="zh-CN"/>
        </w:rPr>
        <w:t>提供投标文件递交截止时间前1年期内任意1个月的依法缴纳税收和社会保障资金的证明材料</w:t>
      </w:r>
      <w:r>
        <w:rPr>
          <w:rFonts w:hint="eastAsia" w:ascii="宋体" w:hAnsi="宋体" w:eastAsia="宋体" w:cs="宋体"/>
          <w:b w:val="0"/>
          <w:bCs w:val="0"/>
          <w:color w:val="auto"/>
          <w:sz w:val="24"/>
          <w:highlight w:val="none"/>
          <w:lang w:eastAsia="zh-CN"/>
        </w:rPr>
        <w:t>（复印件并加盖</w:t>
      </w:r>
      <w:r>
        <w:rPr>
          <w:rFonts w:hint="eastAsia" w:ascii="宋体" w:hAnsi="宋体" w:eastAsia="宋体" w:cs="宋体"/>
          <w:b w:val="0"/>
          <w:bCs w:val="0"/>
          <w:color w:val="auto"/>
          <w:sz w:val="24"/>
          <w:highlight w:val="none"/>
          <w:lang w:val="en-US" w:eastAsia="zh-CN"/>
        </w:rPr>
        <w:t>公</w:t>
      </w:r>
      <w:r>
        <w:rPr>
          <w:rFonts w:hint="eastAsia" w:ascii="宋体" w:hAnsi="宋体" w:eastAsia="宋体" w:cs="宋体"/>
          <w:b w:val="0"/>
          <w:bCs w:val="0"/>
          <w:color w:val="auto"/>
          <w:sz w:val="24"/>
          <w:highlight w:val="none"/>
          <w:lang w:eastAsia="zh-CN"/>
        </w:rPr>
        <w:t>章）</w:t>
      </w:r>
      <w:r>
        <w:rPr>
          <w:rFonts w:hint="eastAsia" w:ascii="宋体" w:hAnsi="宋体" w:cs="宋体"/>
          <w:b w:val="0"/>
          <w:bCs w:val="0"/>
          <w:color w:val="auto"/>
          <w:sz w:val="24"/>
          <w:highlight w:val="none"/>
          <w:lang w:eastAsia="zh-CN"/>
        </w:rPr>
        <w:t>。投标人成立时间不足3个月的，提供相关情况说明（原件加盖</w:t>
      </w:r>
      <w:r>
        <w:rPr>
          <w:rFonts w:hint="eastAsia" w:ascii="宋体" w:hAnsi="宋体" w:cs="宋体"/>
          <w:b w:val="0"/>
          <w:bCs w:val="0"/>
          <w:color w:val="auto"/>
          <w:sz w:val="24"/>
          <w:highlight w:val="none"/>
          <w:lang w:val="en-US" w:eastAsia="zh-CN"/>
        </w:rPr>
        <w:t>公</w:t>
      </w:r>
      <w:r>
        <w:rPr>
          <w:rFonts w:hint="eastAsia" w:ascii="宋体" w:hAnsi="宋体" w:cs="宋体"/>
          <w:b w:val="0"/>
          <w:bCs w:val="0"/>
          <w:color w:val="auto"/>
          <w:sz w:val="24"/>
          <w:highlight w:val="none"/>
          <w:lang w:eastAsia="zh-CN"/>
        </w:rPr>
        <w:t>章）；依法免税或不需要缴纳社会保障资金的投标人，应提供相应文件（复印件并加盖</w:t>
      </w:r>
      <w:r>
        <w:rPr>
          <w:rFonts w:hint="eastAsia" w:ascii="宋体" w:hAnsi="宋体" w:cs="宋体"/>
          <w:b w:val="0"/>
          <w:bCs w:val="0"/>
          <w:color w:val="auto"/>
          <w:sz w:val="24"/>
          <w:highlight w:val="none"/>
          <w:lang w:val="en-US" w:eastAsia="zh-CN"/>
        </w:rPr>
        <w:t>公</w:t>
      </w:r>
      <w:r>
        <w:rPr>
          <w:rFonts w:hint="eastAsia" w:ascii="宋体" w:hAnsi="宋体" w:cs="宋体"/>
          <w:b w:val="0"/>
          <w:bCs w:val="0"/>
          <w:color w:val="auto"/>
          <w:sz w:val="24"/>
          <w:highlight w:val="none"/>
          <w:lang w:eastAsia="zh-CN"/>
        </w:rPr>
        <w:t>章）证明其依法免税或不需要缴纳社会保障资金</w:t>
      </w:r>
      <w:r>
        <w:rPr>
          <w:rFonts w:hint="eastAsia" w:ascii="宋体" w:hAnsi="宋体" w:cs="宋体"/>
          <w:b w:val="0"/>
          <w:bCs w:val="0"/>
          <w:color w:val="auto"/>
          <w:sz w:val="24"/>
          <w:highlight w:val="none"/>
        </w:rPr>
        <w:t>。</w:t>
      </w:r>
    </w:p>
    <w:p w14:paraId="60384F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1.5参加政府采购活动前三年内，在经营活动中没有重大违法记录：</w:t>
      </w:r>
      <w:r>
        <w:rPr>
          <w:rFonts w:hint="eastAsia" w:ascii="宋体" w:hAnsi="宋体" w:cs="宋体"/>
          <w:b w:val="0"/>
          <w:bCs w:val="0"/>
          <w:color w:val="auto"/>
          <w:sz w:val="24"/>
          <w:szCs w:val="24"/>
          <w:highlight w:val="none"/>
          <w:u w:val="none"/>
          <w:lang w:eastAsia="zh-CN"/>
        </w:rPr>
        <w:t>重大违法记录，是指投标人因违法经营受到刑事处罚或者责令停产停业、吊销许可证或者执照、较大数额罚款等行政处罚，</w:t>
      </w:r>
      <w:r>
        <w:rPr>
          <w:rFonts w:hint="eastAsia" w:ascii="宋体" w:hAnsi="宋体" w:eastAsia="宋体" w:cs="宋体"/>
          <w:b w:val="0"/>
          <w:bCs w:val="0"/>
          <w:color w:val="auto"/>
          <w:sz w:val="24"/>
          <w:szCs w:val="24"/>
          <w:highlight w:val="none"/>
          <w:u w:val="none"/>
          <w:lang w:val="en-US" w:eastAsia="zh-CN"/>
        </w:rPr>
        <w:t>提供</w:t>
      </w:r>
      <w:r>
        <w:rPr>
          <w:rFonts w:hint="eastAsia" w:ascii="宋体" w:hAnsi="宋体" w:eastAsia="宋体" w:cs="宋体"/>
          <w:b w:val="0"/>
          <w:bCs w:val="0"/>
          <w:color w:val="auto"/>
          <w:sz w:val="24"/>
          <w:szCs w:val="24"/>
          <w:highlight w:val="none"/>
          <w:u w:val="none"/>
          <w:lang w:eastAsia="zh-CN"/>
        </w:rPr>
        <w:t>书面声明</w:t>
      </w:r>
      <w:r>
        <w:rPr>
          <w:rFonts w:hint="eastAsia" w:ascii="宋体" w:hAnsi="宋体" w:eastAsia="宋体" w:cs="宋体"/>
          <w:b w:val="0"/>
          <w:bCs w:val="0"/>
          <w:color w:val="auto"/>
          <w:sz w:val="24"/>
          <w:highlight w:val="none"/>
          <w:lang w:eastAsia="zh-CN"/>
        </w:rPr>
        <w:t>（原件加盖</w:t>
      </w:r>
      <w:r>
        <w:rPr>
          <w:rFonts w:hint="eastAsia" w:ascii="宋体" w:hAnsi="宋体" w:eastAsia="宋体" w:cs="宋体"/>
          <w:b w:val="0"/>
          <w:bCs w:val="0"/>
          <w:color w:val="auto"/>
          <w:sz w:val="24"/>
          <w:highlight w:val="none"/>
          <w:lang w:val="en-US" w:eastAsia="zh-CN"/>
        </w:rPr>
        <w:t>公</w:t>
      </w:r>
      <w:r>
        <w:rPr>
          <w:rFonts w:hint="eastAsia" w:ascii="宋体" w:hAnsi="宋体" w:eastAsia="宋体" w:cs="宋体"/>
          <w:b w:val="0"/>
          <w:bCs w:val="0"/>
          <w:color w:val="auto"/>
          <w:sz w:val="24"/>
          <w:highlight w:val="none"/>
          <w:lang w:eastAsia="zh-CN"/>
        </w:rPr>
        <w:t>章）</w:t>
      </w:r>
      <w:r>
        <w:rPr>
          <w:rFonts w:hint="eastAsia" w:ascii="宋体" w:hAnsi="宋体" w:cs="宋体"/>
          <w:b w:val="0"/>
          <w:bCs w:val="0"/>
          <w:color w:val="auto"/>
          <w:sz w:val="24"/>
          <w:szCs w:val="24"/>
          <w:highlight w:val="none"/>
          <w:u w:val="none"/>
          <w:lang w:eastAsia="zh-CN"/>
        </w:rPr>
        <w:t>。</w:t>
      </w:r>
    </w:p>
    <w:p w14:paraId="0625745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1.6</w:t>
      </w:r>
      <w:r>
        <w:rPr>
          <w:rFonts w:hint="eastAsia" w:ascii="宋体" w:hAnsi="宋体" w:eastAsia="宋体" w:cs="宋体"/>
          <w:b w:val="0"/>
          <w:bCs w:val="0"/>
          <w:color w:val="auto"/>
          <w:sz w:val="24"/>
          <w:szCs w:val="24"/>
          <w:highlight w:val="none"/>
          <w:u w:val="none"/>
          <w:lang w:bidi="ar"/>
        </w:rPr>
        <w:t>单位负责人为同一人或者存在直接控股、管理关系的不同</w:t>
      </w:r>
      <w:r>
        <w:rPr>
          <w:rFonts w:hint="eastAsia" w:ascii="宋体" w:hAnsi="宋体" w:eastAsia="宋体" w:cs="宋体"/>
          <w:b w:val="0"/>
          <w:bCs w:val="0"/>
          <w:color w:val="auto"/>
          <w:sz w:val="24"/>
          <w:szCs w:val="24"/>
          <w:highlight w:val="none"/>
          <w:u w:val="none"/>
          <w:lang w:eastAsia="zh-CN" w:bidi="ar"/>
        </w:rPr>
        <w:t>投标人</w:t>
      </w:r>
      <w:r>
        <w:rPr>
          <w:rFonts w:hint="eastAsia" w:ascii="宋体" w:hAnsi="宋体" w:eastAsia="宋体" w:cs="宋体"/>
          <w:b w:val="0"/>
          <w:bCs w:val="0"/>
          <w:color w:val="auto"/>
          <w:sz w:val="24"/>
          <w:szCs w:val="24"/>
          <w:highlight w:val="none"/>
          <w:u w:val="none"/>
          <w:lang w:bidi="ar"/>
        </w:rPr>
        <w:t>，不得参加同一合同项下的政府采购活动</w:t>
      </w:r>
      <w:r>
        <w:rPr>
          <w:rFonts w:hint="eastAsia" w:ascii="宋体" w:hAnsi="宋体" w:eastAsia="宋体" w:cs="宋体"/>
          <w:b w:val="0"/>
          <w:bCs w:val="0"/>
          <w:color w:val="auto"/>
          <w:sz w:val="24"/>
          <w:szCs w:val="24"/>
          <w:highlight w:val="none"/>
          <w:u w:val="none"/>
          <w:lang w:eastAsia="zh-CN" w:bidi="ar"/>
        </w:rPr>
        <w:t>，</w:t>
      </w:r>
      <w:r>
        <w:rPr>
          <w:rFonts w:hint="eastAsia" w:ascii="宋体" w:hAnsi="宋体" w:eastAsia="宋体" w:cs="宋体"/>
          <w:b w:val="0"/>
          <w:bCs w:val="0"/>
          <w:color w:val="auto"/>
          <w:sz w:val="24"/>
          <w:szCs w:val="24"/>
          <w:highlight w:val="none"/>
          <w:u w:val="none"/>
          <w:lang w:bidi="ar"/>
        </w:rPr>
        <w:t>提供</w:t>
      </w:r>
      <w:r>
        <w:rPr>
          <w:rFonts w:hint="eastAsia" w:ascii="宋体" w:hAnsi="宋体" w:eastAsia="宋体" w:cs="宋体"/>
          <w:b w:val="0"/>
          <w:bCs w:val="0"/>
          <w:color w:val="auto"/>
          <w:sz w:val="24"/>
          <w:szCs w:val="24"/>
          <w:highlight w:val="none"/>
          <w:u w:val="none"/>
          <w:lang w:eastAsia="zh-CN" w:bidi="ar"/>
        </w:rPr>
        <w:t>投标人</w:t>
      </w:r>
      <w:r>
        <w:rPr>
          <w:rFonts w:hint="eastAsia" w:ascii="宋体" w:hAnsi="宋体" w:eastAsia="宋体" w:cs="宋体"/>
          <w:b w:val="0"/>
          <w:bCs w:val="0"/>
          <w:color w:val="auto"/>
          <w:sz w:val="24"/>
          <w:szCs w:val="24"/>
          <w:highlight w:val="none"/>
          <w:u w:val="none"/>
          <w:lang w:bidi="ar"/>
        </w:rPr>
        <w:t>关联企业情况声明</w:t>
      </w:r>
      <w:r>
        <w:rPr>
          <w:rFonts w:hint="eastAsia" w:ascii="宋体" w:hAnsi="宋体" w:eastAsia="宋体" w:cs="宋体"/>
          <w:b w:val="0"/>
          <w:bCs w:val="0"/>
          <w:color w:val="auto"/>
          <w:sz w:val="24"/>
          <w:highlight w:val="none"/>
          <w:lang w:eastAsia="zh-CN"/>
        </w:rPr>
        <w:t>（原件加盖</w:t>
      </w:r>
      <w:r>
        <w:rPr>
          <w:rFonts w:hint="eastAsia" w:ascii="宋体" w:hAnsi="宋体" w:eastAsia="宋体" w:cs="宋体"/>
          <w:b w:val="0"/>
          <w:bCs w:val="0"/>
          <w:color w:val="auto"/>
          <w:sz w:val="24"/>
          <w:highlight w:val="none"/>
          <w:lang w:val="en-US" w:eastAsia="zh-CN"/>
        </w:rPr>
        <w:t>公</w:t>
      </w:r>
      <w:r>
        <w:rPr>
          <w:rFonts w:hint="eastAsia" w:ascii="宋体" w:hAnsi="宋体" w:eastAsia="宋体" w:cs="宋体"/>
          <w:b w:val="0"/>
          <w:bCs w:val="0"/>
          <w:color w:val="auto"/>
          <w:sz w:val="24"/>
          <w:highlight w:val="none"/>
          <w:lang w:eastAsia="zh-CN"/>
        </w:rPr>
        <w:t>章）</w:t>
      </w:r>
      <w:r>
        <w:rPr>
          <w:rFonts w:hint="eastAsia" w:ascii="宋体" w:hAnsi="宋体" w:eastAsia="宋体" w:cs="宋体"/>
          <w:b w:val="0"/>
          <w:bCs w:val="0"/>
          <w:color w:val="auto"/>
          <w:sz w:val="24"/>
          <w:szCs w:val="24"/>
          <w:highlight w:val="none"/>
          <w:u w:val="none"/>
          <w:lang w:bidi="ar"/>
        </w:rPr>
        <w:t>。</w:t>
      </w:r>
    </w:p>
    <w:p w14:paraId="043A464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u w:val="none"/>
          <w:lang w:bidi="ar"/>
        </w:rPr>
      </w:pPr>
      <w:r>
        <w:rPr>
          <w:rFonts w:hint="eastAsia" w:ascii="宋体" w:hAnsi="宋体" w:eastAsia="宋体" w:cs="宋体"/>
          <w:b w:val="0"/>
          <w:bCs w:val="0"/>
          <w:color w:val="auto"/>
          <w:sz w:val="24"/>
          <w:szCs w:val="24"/>
          <w:highlight w:val="none"/>
          <w:u w:val="none"/>
        </w:rPr>
        <w:t>1.</w:t>
      </w:r>
      <w:r>
        <w:rPr>
          <w:rFonts w:hint="eastAsia" w:ascii="宋体" w:hAnsi="宋体" w:eastAsia="宋体" w:cs="宋体"/>
          <w:b w:val="0"/>
          <w:bCs w:val="0"/>
          <w:color w:val="auto"/>
          <w:sz w:val="24"/>
          <w:szCs w:val="24"/>
          <w:highlight w:val="none"/>
          <w:u w:val="none"/>
          <w:lang w:val="en-US" w:eastAsia="zh-CN"/>
        </w:rPr>
        <w:t>7</w:t>
      </w:r>
      <w:r>
        <w:rPr>
          <w:rFonts w:hint="eastAsia" w:ascii="宋体" w:hAnsi="宋体" w:eastAsia="宋体" w:cs="宋体"/>
          <w:b w:val="0"/>
          <w:bCs w:val="0"/>
          <w:color w:val="auto"/>
          <w:sz w:val="24"/>
          <w:szCs w:val="24"/>
          <w:highlight w:val="none"/>
          <w:u w:val="none"/>
          <w:lang w:bidi="ar"/>
        </w:rPr>
        <w:t>为采购项目提供整体设计、规范编制或者项目管理、监理、检测等服务的</w:t>
      </w:r>
      <w:r>
        <w:rPr>
          <w:rFonts w:hint="eastAsia" w:ascii="宋体" w:hAnsi="宋体" w:eastAsia="宋体" w:cs="宋体"/>
          <w:b w:val="0"/>
          <w:bCs w:val="0"/>
          <w:color w:val="auto"/>
          <w:sz w:val="24"/>
          <w:szCs w:val="24"/>
          <w:highlight w:val="none"/>
          <w:u w:val="none"/>
          <w:lang w:eastAsia="zh-CN" w:bidi="ar"/>
        </w:rPr>
        <w:t>投标人</w:t>
      </w:r>
      <w:r>
        <w:rPr>
          <w:rFonts w:hint="eastAsia" w:ascii="宋体" w:hAnsi="宋体" w:eastAsia="宋体" w:cs="宋体"/>
          <w:b w:val="0"/>
          <w:bCs w:val="0"/>
          <w:color w:val="auto"/>
          <w:sz w:val="24"/>
          <w:szCs w:val="24"/>
          <w:highlight w:val="none"/>
          <w:u w:val="none"/>
          <w:lang w:bidi="ar"/>
        </w:rPr>
        <w:t>，不得再参加</w:t>
      </w:r>
      <w:r>
        <w:rPr>
          <w:rFonts w:hint="eastAsia" w:ascii="宋体" w:hAnsi="宋体" w:eastAsia="宋体" w:cs="宋体"/>
          <w:b w:val="0"/>
          <w:bCs w:val="0"/>
          <w:color w:val="auto"/>
          <w:sz w:val="24"/>
          <w:szCs w:val="24"/>
          <w:highlight w:val="none"/>
          <w:u w:val="none"/>
          <w:lang w:val="en-US" w:eastAsia="zh-CN" w:bidi="ar"/>
        </w:rPr>
        <w:t>本项目的</w:t>
      </w:r>
      <w:r>
        <w:rPr>
          <w:rFonts w:hint="eastAsia" w:ascii="宋体" w:hAnsi="宋体" w:eastAsia="宋体" w:cs="宋体"/>
          <w:b w:val="0"/>
          <w:bCs w:val="0"/>
          <w:color w:val="auto"/>
          <w:sz w:val="24"/>
          <w:szCs w:val="24"/>
          <w:highlight w:val="none"/>
          <w:u w:val="none"/>
          <w:lang w:bidi="ar"/>
        </w:rPr>
        <w:t>采购活动</w:t>
      </w:r>
      <w:r>
        <w:rPr>
          <w:rFonts w:hint="eastAsia" w:ascii="宋体" w:hAnsi="宋体" w:eastAsia="宋体" w:cs="宋体"/>
          <w:b w:val="0"/>
          <w:bCs w:val="0"/>
          <w:color w:val="auto"/>
          <w:sz w:val="24"/>
          <w:szCs w:val="24"/>
          <w:highlight w:val="none"/>
          <w:u w:val="none"/>
          <w:lang w:eastAsia="zh-CN" w:bidi="ar"/>
        </w:rPr>
        <w:t>，</w:t>
      </w:r>
      <w:r>
        <w:rPr>
          <w:rFonts w:hint="eastAsia" w:ascii="宋体" w:hAnsi="宋体" w:eastAsia="宋体" w:cs="宋体"/>
          <w:b w:val="0"/>
          <w:bCs w:val="0"/>
          <w:color w:val="auto"/>
          <w:sz w:val="24"/>
          <w:szCs w:val="24"/>
          <w:highlight w:val="none"/>
          <w:u w:val="none"/>
        </w:rPr>
        <w:t>提供承诺书</w:t>
      </w:r>
      <w:r>
        <w:rPr>
          <w:rFonts w:hint="eastAsia" w:ascii="宋体" w:hAnsi="宋体" w:eastAsia="宋体" w:cs="宋体"/>
          <w:b w:val="0"/>
          <w:bCs w:val="0"/>
          <w:color w:val="auto"/>
          <w:sz w:val="24"/>
          <w:highlight w:val="none"/>
          <w:lang w:eastAsia="zh-CN"/>
        </w:rPr>
        <w:t>（原件加盖</w:t>
      </w:r>
      <w:r>
        <w:rPr>
          <w:rFonts w:hint="eastAsia" w:ascii="宋体" w:hAnsi="宋体" w:eastAsia="宋体" w:cs="宋体"/>
          <w:b w:val="0"/>
          <w:bCs w:val="0"/>
          <w:color w:val="auto"/>
          <w:sz w:val="24"/>
          <w:highlight w:val="none"/>
          <w:lang w:val="en-US" w:eastAsia="zh-CN"/>
        </w:rPr>
        <w:t>公</w:t>
      </w:r>
      <w:r>
        <w:rPr>
          <w:rFonts w:hint="eastAsia" w:ascii="宋体" w:hAnsi="宋体" w:eastAsia="宋体" w:cs="宋体"/>
          <w:b w:val="0"/>
          <w:bCs w:val="0"/>
          <w:color w:val="auto"/>
          <w:sz w:val="24"/>
          <w:highlight w:val="none"/>
          <w:lang w:eastAsia="zh-CN"/>
        </w:rPr>
        <w:t>章）</w:t>
      </w:r>
      <w:r>
        <w:rPr>
          <w:rFonts w:hint="eastAsia" w:ascii="宋体" w:hAnsi="宋体" w:eastAsia="宋体" w:cs="宋体"/>
          <w:b w:val="0"/>
          <w:bCs w:val="0"/>
          <w:color w:val="auto"/>
          <w:sz w:val="24"/>
          <w:szCs w:val="24"/>
          <w:highlight w:val="none"/>
          <w:u w:val="none"/>
          <w:lang w:bidi="ar"/>
        </w:rPr>
        <w:t>。</w:t>
      </w:r>
    </w:p>
    <w:p w14:paraId="3B9EC669">
      <w:pPr>
        <w:keepNext w:val="0"/>
        <w:keepLines w:val="0"/>
        <w:pageBreakBefore w:val="0"/>
        <w:widowControl/>
        <w:kinsoku/>
        <w:overflowPunct/>
        <w:topLinePunct w:val="0"/>
        <w:autoSpaceDE/>
        <w:autoSpaceDN/>
        <w:bidi w:val="0"/>
        <w:spacing w:line="360" w:lineRule="auto"/>
        <w:ind w:firstLine="480" w:firstLineChars="200"/>
        <w:jc w:val="left"/>
        <w:rPr>
          <w:rFonts w:hint="default" w:eastAsia="宋体"/>
          <w:color w:val="auto"/>
          <w:highlight w:val="none"/>
          <w:lang w:val="en-US" w:eastAsia="zh-CN"/>
        </w:rPr>
      </w:pPr>
      <w:r>
        <w:rPr>
          <w:rFonts w:hint="eastAsia" w:ascii="宋体" w:hAnsi="宋体" w:eastAsia="宋体" w:cs="宋体"/>
          <w:b w:val="0"/>
          <w:bCs w:val="0"/>
          <w:color w:val="auto"/>
          <w:sz w:val="24"/>
          <w:szCs w:val="24"/>
          <w:highlight w:val="none"/>
          <w:u w:val="none"/>
        </w:rPr>
        <w:t>1.</w:t>
      </w:r>
      <w:r>
        <w:rPr>
          <w:rFonts w:hint="eastAsia" w:ascii="宋体" w:hAnsi="宋体" w:eastAsia="宋体" w:cs="宋体"/>
          <w:b w:val="0"/>
          <w:bCs w:val="0"/>
          <w:color w:val="auto"/>
          <w:sz w:val="24"/>
          <w:szCs w:val="24"/>
          <w:highlight w:val="none"/>
          <w:u w:val="none"/>
          <w:lang w:val="en-US" w:eastAsia="zh-CN"/>
        </w:rPr>
        <w:t>8符合</w:t>
      </w:r>
      <w:r>
        <w:rPr>
          <w:rFonts w:hint="eastAsia" w:ascii="宋体" w:hAnsi="宋体" w:eastAsia="宋体" w:cs="宋体"/>
          <w:b w:val="0"/>
          <w:bCs w:val="0"/>
          <w:color w:val="auto"/>
          <w:sz w:val="24"/>
          <w:szCs w:val="24"/>
          <w:highlight w:val="none"/>
          <w:u w:val="none"/>
        </w:rPr>
        <w:t>法律、行政法规规定的其他条件</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提供承诺书</w:t>
      </w:r>
      <w:r>
        <w:rPr>
          <w:rFonts w:hint="eastAsia" w:ascii="宋体" w:hAnsi="宋体" w:eastAsia="宋体" w:cs="宋体"/>
          <w:b w:val="0"/>
          <w:bCs w:val="0"/>
          <w:color w:val="auto"/>
          <w:sz w:val="24"/>
          <w:highlight w:val="none"/>
          <w:lang w:eastAsia="zh-CN"/>
        </w:rPr>
        <w:t>（原件加盖</w:t>
      </w:r>
      <w:r>
        <w:rPr>
          <w:rFonts w:hint="eastAsia" w:ascii="宋体" w:hAnsi="宋体" w:eastAsia="宋体" w:cs="宋体"/>
          <w:b w:val="0"/>
          <w:bCs w:val="0"/>
          <w:color w:val="auto"/>
          <w:sz w:val="24"/>
          <w:highlight w:val="none"/>
          <w:lang w:val="en-US" w:eastAsia="zh-CN"/>
        </w:rPr>
        <w:t>公</w:t>
      </w:r>
      <w:r>
        <w:rPr>
          <w:rFonts w:hint="eastAsia" w:ascii="宋体" w:hAnsi="宋体" w:eastAsia="宋体" w:cs="宋体"/>
          <w:b w:val="0"/>
          <w:bCs w:val="0"/>
          <w:color w:val="auto"/>
          <w:sz w:val="24"/>
          <w:highlight w:val="none"/>
          <w:lang w:eastAsia="zh-CN"/>
        </w:rPr>
        <w:t>章）</w:t>
      </w:r>
      <w:r>
        <w:rPr>
          <w:rFonts w:hint="eastAsia" w:ascii="宋体" w:hAnsi="宋体" w:eastAsia="宋体" w:cs="宋体"/>
          <w:b w:val="0"/>
          <w:bCs w:val="0"/>
          <w:color w:val="auto"/>
          <w:sz w:val="24"/>
          <w:szCs w:val="24"/>
          <w:highlight w:val="none"/>
          <w:u w:val="none"/>
          <w:lang w:bidi="ar"/>
        </w:rPr>
        <w:t>。</w:t>
      </w:r>
    </w:p>
    <w:p w14:paraId="5646F58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b/>
          <w:bCs/>
          <w:color w:val="auto"/>
          <w:sz w:val="24"/>
          <w:szCs w:val="24"/>
          <w:highlight w:val="none"/>
          <w:u w:val="none"/>
        </w:rPr>
        <w:t>2.落实政府采购政策需满足的资格要求：</w:t>
      </w:r>
      <w:r>
        <w:rPr>
          <w:rFonts w:hint="eastAsia" w:ascii="宋体" w:hAnsi="宋体" w:eastAsia="宋体" w:cs="宋体"/>
          <w:b/>
          <w:bCs/>
          <w:color w:val="auto"/>
          <w:sz w:val="24"/>
          <w:szCs w:val="24"/>
          <w:highlight w:val="none"/>
          <w:u w:val="none"/>
          <w:lang w:val="en-US" w:eastAsia="zh-CN"/>
        </w:rPr>
        <w:t>无。</w:t>
      </w:r>
    </w:p>
    <w:p w14:paraId="30ECA7D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u w:val="none"/>
          <w:lang w:val="en-US" w:eastAsia="zh-CN" w:bidi="ar"/>
        </w:rPr>
      </w:pPr>
      <w:r>
        <w:rPr>
          <w:rFonts w:hint="eastAsia" w:ascii="宋体" w:hAnsi="宋体" w:eastAsia="宋体" w:cs="宋体"/>
          <w:b/>
          <w:bCs/>
          <w:color w:val="auto"/>
          <w:sz w:val="24"/>
          <w:szCs w:val="24"/>
          <w:highlight w:val="none"/>
          <w:u w:val="none"/>
        </w:rPr>
        <w:t>3.本项目的特定资格要求：</w:t>
      </w:r>
      <w:r>
        <w:rPr>
          <w:rFonts w:hint="eastAsia" w:ascii="宋体" w:hAnsi="宋体" w:eastAsia="宋体" w:cs="宋体"/>
          <w:b/>
          <w:bCs/>
          <w:color w:val="auto"/>
          <w:sz w:val="24"/>
          <w:szCs w:val="24"/>
          <w:highlight w:val="none"/>
          <w:u w:val="none"/>
          <w:lang w:val="en-US" w:eastAsia="zh-CN"/>
        </w:rPr>
        <w:t>无。</w:t>
      </w:r>
    </w:p>
    <w:p w14:paraId="0B60AAC0">
      <w:pPr>
        <w:pStyle w:val="4"/>
        <w:keepNext w:val="0"/>
        <w:keepLines w:val="0"/>
        <w:pageBreakBefore w:val="0"/>
        <w:numPr>
          <w:ilvl w:val="0"/>
          <w:numId w:val="0"/>
        </w:numPr>
        <w:tabs>
          <w:tab w:val="clear" w:pos="1588"/>
        </w:tabs>
        <w:kinsoku/>
        <w:overflowPunct/>
        <w:topLinePunct w:val="0"/>
        <w:autoSpaceDE/>
        <w:autoSpaceDN/>
        <w:bidi w:val="0"/>
        <w:spacing w:before="0" w:line="360" w:lineRule="auto"/>
        <w:rPr>
          <w:rFonts w:hint="eastAsia" w:ascii="宋体" w:hAnsi="宋体" w:eastAsia="宋体" w:cs="Times New Roman"/>
          <w:color w:val="auto"/>
          <w:sz w:val="24"/>
          <w:szCs w:val="24"/>
          <w:highlight w:val="none"/>
          <w:lang w:val="en-US" w:eastAsia="zh-CN"/>
        </w:rPr>
      </w:pPr>
      <w:bookmarkStart w:id="17" w:name="_Toc24407"/>
      <w:r>
        <w:rPr>
          <w:rFonts w:hint="eastAsia" w:ascii="宋体" w:hAnsi="宋体" w:eastAsia="宋体" w:cs="Times New Roman"/>
          <w:color w:val="auto"/>
          <w:sz w:val="24"/>
          <w:szCs w:val="24"/>
          <w:highlight w:val="none"/>
          <w:lang w:val="en-US" w:eastAsia="zh-CN"/>
        </w:rPr>
        <w:t>三、获取招标文件</w:t>
      </w:r>
      <w:bookmarkEnd w:id="13"/>
      <w:bookmarkEnd w:id="14"/>
      <w:bookmarkEnd w:id="15"/>
      <w:bookmarkEnd w:id="16"/>
      <w:bookmarkEnd w:id="17"/>
    </w:p>
    <w:p w14:paraId="7412D7EA">
      <w:pPr>
        <w:keepNext w:val="0"/>
        <w:keepLines w:val="0"/>
        <w:pageBreakBefore w:val="0"/>
        <w:kinsoku/>
        <w:overflowPunct/>
        <w:topLinePunct w:val="0"/>
        <w:autoSpaceDE/>
        <w:autoSpaceDN/>
        <w:bidi w:val="0"/>
        <w:spacing w:line="360" w:lineRule="auto"/>
        <w:ind w:firstLine="520" w:firstLineChars="200"/>
        <w:rPr>
          <w:rFonts w:ascii="宋体" w:hAnsi="宋体"/>
          <w:bCs/>
          <w:color w:val="auto"/>
          <w:spacing w:val="10"/>
          <w:sz w:val="24"/>
          <w:szCs w:val="22"/>
          <w:highlight w:val="none"/>
          <w:u w:val="none"/>
        </w:rPr>
      </w:pPr>
      <w:bookmarkStart w:id="18" w:name="_Toc28359082"/>
      <w:bookmarkStart w:id="19" w:name="_Toc28359005"/>
      <w:bookmarkStart w:id="20" w:name="_Toc35393624"/>
      <w:bookmarkStart w:id="21" w:name="_Toc35393793"/>
      <w:r>
        <w:rPr>
          <w:rFonts w:ascii="宋体" w:hAnsi="宋体"/>
          <w:bCs/>
          <w:color w:val="auto"/>
          <w:spacing w:val="10"/>
          <w:sz w:val="24"/>
          <w:szCs w:val="22"/>
          <w:highlight w:val="none"/>
        </w:rPr>
        <w:t>1</w:t>
      </w:r>
      <w:r>
        <w:rPr>
          <w:rFonts w:hint="eastAsia" w:ascii="宋体" w:hAnsi="宋体"/>
          <w:bCs/>
          <w:color w:val="auto"/>
          <w:spacing w:val="10"/>
          <w:sz w:val="24"/>
          <w:szCs w:val="22"/>
          <w:highlight w:val="none"/>
        </w:rPr>
        <w:t>.招标文件获取时间：</w:t>
      </w:r>
      <w:r>
        <w:rPr>
          <w:rFonts w:hint="eastAsia" w:ascii="宋体" w:hAnsi="宋体"/>
          <w:bCs/>
          <w:color w:val="auto"/>
          <w:spacing w:val="10"/>
          <w:sz w:val="24"/>
          <w:szCs w:val="22"/>
          <w:highlight w:val="none"/>
          <w:u w:val="single"/>
        </w:rPr>
        <w:t>202</w:t>
      </w:r>
      <w:r>
        <w:rPr>
          <w:rFonts w:hint="eastAsia" w:ascii="宋体" w:hAnsi="宋体"/>
          <w:bCs/>
          <w:color w:val="auto"/>
          <w:spacing w:val="10"/>
          <w:sz w:val="24"/>
          <w:szCs w:val="22"/>
          <w:highlight w:val="none"/>
          <w:u w:val="single"/>
          <w:lang w:val="en-US" w:eastAsia="zh-CN"/>
        </w:rPr>
        <w:t>6</w:t>
      </w:r>
      <w:r>
        <w:rPr>
          <w:rFonts w:hint="eastAsia" w:ascii="宋体" w:hAnsi="宋体"/>
          <w:bCs/>
          <w:color w:val="auto"/>
          <w:spacing w:val="10"/>
          <w:sz w:val="24"/>
          <w:szCs w:val="22"/>
          <w:highlight w:val="none"/>
        </w:rPr>
        <w:t>年</w:t>
      </w:r>
      <w:r>
        <w:rPr>
          <w:rFonts w:hint="eastAsia" w:ascii="宋体" w:hAnsi="宋体"/>
          <w:bCs/>
          <w:color w:val="auto"/>
          <w:spacing w:val="10"/>
          <w:sz w:val="24"/>
          <w:szCs w:val="22"/>
          <w:highlight w:val="none"/>
          <w:u w:val="single"/>
          <w:lang w:val="en-US" w:eastAsia="zh-CN"/>
        </w:rPr>
        <w:t>11</w:t>
      </w:r>
      <w:r>
        <w:rPr>
          <w:rFonts w:hint="eastAsia" w:ascii="宋体" w:hAnsi="宋体"/>
          <w:bCs/>
          <w:color w:val="auto"/>
          <w:spacing w:val="10"/>
          <w:sz w:val="24"/>
          <w:szCs w:val="22"/>
          <w:highlight w:val="none"/>
        </w:rPr>
        <w:t>月</w:t>
      </w:r>
      <w:r>
        <w:rPr>
          <w:rFonts w:hint="eastAsia" w:ascii="宋体" w:hAnsi="宋体"/>
          <w:bCs/>
          <w:color w:val="auto"/>
          <w:spacing w:val="10"/>
          <w:sz w:val="24"/>
          <w:szCs w:val="22"/>
          <w:highlight w:val="none"/>
          <w:u w:val="single"/>
          <w:lang w:val="en-US" w:eastAsia="zh-CN"/>
        </w:rPr>
        <w:t>5</w:t>
      </w:r>
      <w:r>
        <w:rPr>
          <w:rFonts w:hint="eastAsia" w:ascii="宋体" w:hAnsi="宋体"/>
          <w:bCs/>
          <w:color w:val="auto"/>
          <w:spacing w:val="10"/>
          <w:sz w:val="24"/>
          <w:szCs w:val="22"/>
          <w:highlight w:val="none"/>
          <w:u w:val="none"/>
          <w:lang w:val="en-US" w:eastAsia="zh-CN"/>
        </w:rPr>
        <w:t>日起至</w:t>
      </w:r>
      <w:r>
        <w:rPr>
          <w:rFonts w:hint="eastAsia" w:ascii="宋体" w:hAnsi="宋体"/>
          <w:bCs/>
          <w:color w:val="auto"/>
          <w:spacing w:val="10"/>
          <w:sz w:val="24"/>
          <w:szCs w:val="22"/>
          <w:highlight w:val="none"/>
          <w:u w:val="single"/>
          <w:lang w:val="en-US" w:eastAsia="zh-CN"/>
        </w:rPr>
        <w:t>2026</w:t>
      </w:r>
      <w:r>
        <w:rPr>
          <w:rFonts w:hint="eastAsia" w:ascii="宋体" w:hAnsi="宋体"/>
          <w:bCs/>
          <w:color w:val="auto"/>
          <w:spacing w:val="10"/>
          <w:sz w:val="24"/>
          <w:szCs w:val="22"/>
          <w:highlight w:val="none"/>
          <w:u w:val="none"/>
          <w:lang w:val="en-US" w:eastAsia="zh-CN"/>
        </w:rPr>
        <w:t>年</w:t>
      </w:r>
      <w:r>
        <w:rPr>
          <w:rFonts w:hint="eastAsia" w:ascii="宋体" w:hAnsi="宋体"/>
          <w:bCs/>
          <w:color w:val="auto"/>
          <w:spacing w:val="10"/>
          <w:sz w:val="24"/>
          <w:szCs w:val="22"/>
          <w:highlight w:val="none"/>
          <w:u w:val="single"/>
          <w:lang w:val="en-US" w:eastAsia="zh-CN"/>
        </w:rPr>
        <w:t>11</w:t>
      </w:r>
      <w:r>
        <w:rPr>
          <w:rFonts w:hint="eastAsia" w:ascii="宋体" w:hAnsi="宋体"/>
          <w:bCs/>
          <w:color w:val="auto"/>
          <w:spacing w:val="10"/>
          <w:sz w:val="24"/>
          <w:szCs w:val="22"/>
          <w:highlight w:val="none"/>
        </w:rPr>
        <w:t>月</w:t>
      </w:r>
      <w:r>
        <w:rPr>
          <w:rFonts w:hint="eastAsia" w:ascii="宋体" w:hAnsi="宋体"/>
          <w:bCs/>
          <w:color w:val="auto"/>
          <w:spacing w:val="10"/>
          <w:sz w:val="24"/>
          <w:szCs w:val="22"/>
          <w:highlight w:val="none"/>
          <w:u w:val="single"/>
          <w:lang w:val="en-US" w:eastAsia="zh-CN"/>
        </w:rPr>
        <w:t>11</w:t>
      </w:r>
      <w:r>
        <w:rPr>
          <w:rFonts w:hint="eastAsia" w:ascii="宋体" w:hAnsi="宋体"/>
          <w:bCs/>
          <w:color w:val="auto"/>
          <w:spacing w:val="10"/>
          <w:sz w:val="24"/>
          <w:szCs w:val="22"/>
          <w:highlight w:val="none"/>
        </w:rPr>
        <w:t>日，每</w:t>
      </w:r>
      <w:r>
        <w:rPr>
          <w:rFonts w:hint="eastAsia" w:ascii="宋体" w:hAnsi="宋体"/>
          <w:bCs/>
          <w:color w:val="auto"/>
          <w:spacing w:val="10"/>
          <w:sz w:val="24"/>
          <w:szCs w:val="22"/>
          <w:highlight w:val="none"/>
          <w:lang w:val="en-US" w:eastAsia="zh-CN"/>
        </w:rPr>
        <w:t>天</w:t>
      </w:r>
      <w:r>
        <w:rPr>
          <w:rFonts w:hint="eastAsia" w:ascii="宋体" w:hAnsi="宋体"/>
          <w:bCs/>
          <w:color w:val="auto"/>
          <w:spacing w:val="10"/>
          <w:sz w:val="24"/>
          <w:szCs w:val="22"/>
          <w:highlight w:val="none"/>
          <w:u w:val="none"/>
        </w:rPr>
        <w:t>09</w:t>
      </w:r>
      <w:r>
        <w:rPr>
          <w:rFonts w:hint="eastAsia" w:ascii="宋体" w:hAnsi="宋体"/>
          <w:bCs/>
          <w:color w:val="auto"/>
          <w:spacing w:val="10"/>
          <w:sz w:val="24"/>
          <w:szCs w:val="22"/>
          <w:highlight w:val="none"/>
          <w:u w:val="none"/>
          <w:lang w:val="en-US" w:eastAsia="zh-CN"/>
        </w:rPr>
        <w:t>:</w:t>
      </w:r>
      <w:r>
        <w:rPr>
          <w:rFonts w:hint="eastAsia" w:ascii="宋体" w:hAnsi="宋体"/>
          <w:bCs/>
          <w:color w:val="auto"/>
          <w:spacing w:val="10"/>
          <w:sz w:val="24"/>
          <w:szCs w:val="22"/>
          <w:highlight w:val="none"/>
          <w:u w:val="none"/>
        </w:rPr>
        <w:t>00至11</w:t>
      </w:r>
      <w:r>
        <w:rPr>
          <w:rFonts w:hint="eastAsia" w:ascii="宋体" w:hAnsi="宋体"/>
          <w:bCs/>
          <w:color w:val="auto"/>
          <w:spacing w:val="10"/>
          <w:sz w:val="24"/>
          <w:szCs w:val="22"/>
          <w:highlight w:val="none"/>
          <w:u w:val="none"/>
          <w:lang w:val="en-US" w:eastAsia="zh-CN"/>
        </w:rPr>
        <w:t>:</w:t>
      </w:r>
      <w:r>
        <w:rPr>
          <w:rFonts w:hint="eastAsia" w:ascii="宋体" w:hAnsi="宋体"/>
          <w:bCs/>
          <w:color w:val="auto"/>
          <w:spacing w:val="10"/>
          <w:sz w:val="24"/>
          <w:szCs w:val="22"/>
          <w:highlight w:val="none"/>
          <w:u w:val="none"/>
        </w:rPr>
        <w:t>30，14</w:t>
      </w:r>
      <w:r>
        <w:rPr>
          <w:rFonts w:hint="eastAsia" w:ascii="宋体" w:hAnsi="宋体"/>
          <w:bCs/>
          <w:color w:val="auto"/>
          <w:spacing w:val="10"/>
          <w:sz w:val="24"/>
          <w:szCs w:val="22"/>
          <w:highlight w:val="none"/>
          <w:u w:val="none"/>
          <w:lang w:val="en-US" w:eastAsia="zh-CN"/>
        </w:rPr>
        <w:t>:</w:t>
      </w:r>
      <w:r>
        <w:rPr>
          <w:rFonts w:hint="eastAsia" w:ascii="宋体" w:hAnsi="宋体"/>
          <w:bCs/>
          <w:color w:val="auto"/>
          <w:spacing w:val="10"/>
          <w:sz w:val="24"/>
          <w:szCs w:val="22"/>
          <w:highlight w:val="none"/>
          <w:u w:val="none"/>
        </w:rPr>
        <w:t>30至17</w:t>
      </w:r>
      <w:r>
        <w:rPr>
          <w:rFonts w:hint="eastAsia" w:ascii="宋体" w:hAnsi="宋体"/>
          <w:bCs/>
          <w:color w:val="auto"/>
          <w:spacing w:val="10"/>
          <w:sz w:val="24"/>
          <w:szCs w:val="22"/>
          <w:highlight w:val="none"/>
          <w:u w:val="none"/>
          <w:lang w:val="en-US" w:eastAsia="zh-CN"/>
        </w:rPr>
        <w:t>:</w:t>
      </w:r>
      <w:r>
        <w:rPr>
          <w:rFonts w:hint="eastAsia" w:ascii="宋体" w:hAnsi="宋体"/>
          <w:bCs/>
          <w:color w:val="auto"/>
          <w:spacing w:val="10"/>
          <w:sz w:val="24"/>
          <w:szCs w:val="22"/>
          <w:highlight w:val="none"/>
          <w:u w:val="none"/>
        </w:rPr>
        <w:t>00</w:t>
      </w:r>
      <w:r>
        <w:rPr>
          <w:rFonts w:hint="eastAsia" w:ascii="宋体" w:hAnsi="宋体" w:eastAsia="宋体" w:cs="宋体"/>
          <w:bCs/>
          <w:color w:val="auto"/>
          <w:spacing w:val="10"/>
          <w:sz w:val="24"/>
          <w:szCs w:val="22"/>
          <w:highlight w:val="none"/>
          <w:u w:val="none"/>
        </w:rPr>
        <w:t>（北京时间，法定节假日除外）</w:t>
      </w:r>
      <w:r>
        <w:rPr>
          <w:rFonts w:hint="eastAsia" w:ascii="宋体" w:hAnsi="宋体"/>
          <w:bCs/>
          <w:color w:val="auto"/>
          <w:spacing w:val="10"/>
          <w:sz w:val="24"/>
          <w:szCs w:val="22"/>
          <w:highlight w:val="none"/>
          <w:u w:val="none"/>
        </w:rPr>
        <w:t>。</w:t>
      </w:r>
    </w:p>
    <w:p w14:paraId="6F21A880">
      <w:pPr>
        <w:keepNext w:val="0"/>
        <w:keepLines w:val="0"/>
        <w:pageBreakBefore w:val="0"/>
        <w:kinsoku/>
        <w:overflowPunct/>
        <w:topLinePunct w:val="0"/>
        <w:autoSpaceDE/>
        <w:autoSpaceDN/>
        <w:bidi w:val="0"/>
        <w:spacing w:line="360" w:lineRule="auto"/>
        <w:ind w:firstLine="520" w:firstLineChars="200"/>
        <w:rPr>
          <w:rFonts w:ascii="宋体" w:hAnsi="宋体"/>
          <w:bCs/>
          <w:color w:val="auto"/>
          <w:spacing w:val="10"/>
          <w:sz w:val="24"/>
          <w:szCs w:val="22"/>
          <w:highlight w:val="none"/>
        </w:rPr>
      </w:pPr>
      <w:r>
        <w:rPr>
          <w:rFonts w:ascii="宋体" w:hAnsi="宋体"/>
          <w:bCs/>
          <w:color w:val="auto"/>
          <w:spacing w:val="10"/>
          <w:sz w:val="24"/>
          <w:szCs w:val="22"/>
          <w:highlight w:val="none"/>
        </w:rPr>
        <w:t>2</w:t>
      </w:r>
      <w:r>
        <w:rPr>
          <w:rFonts w:hint="eastAsia" w:ascii="宋体" w:hAnsi="宋体"/>
          <w:bCs/>
          <w:color w:val="auto"/>
          <w:spacing w:val="10"/>
          <w:sz w:val="24"/>
          <w:szCs w:val="22"/>
          <w:highlight w:val="none"/>
        </w:rPr>
        <w:t>.招标文件获取地点：云南众高工程咨询有限公司（昆明市盘龙区北辰大道美立方商业广场B座16楼）财务部。</w:t>
      </w:r>
    </w:p>
    <w:p w14:paraId="36BB7C4C">
      <w:pPr>
        <w:keepNext w:val="0"/>
        <w:keepLines w:val="0"/>
        <w:pageBreakBefore w:val="0"/>
        <w:kinsoku/>
        <w:overflowPunct/>
        <w:topLinePunct w:val="0"/>
        <w:autoSpaceDE/>
        <w:autoSpaceDN/>
        <w:bidi w:val="0"/>
        <w:spacing w:line="360" w:lineRule="auto"/>
        <w:ind w:firstLine="520" w:firstLineChars="200"/>
        <w:rPr>
          <w:rFonts w:ascii="宋体" w:hAnsi="宋体"/>
          <w:bCs/>
          <w:color w:val="auto"/>
          <w:spacing w:val="10"/>
          <w:sz w:val="24"/>
          <w:szCs w:val="22"/>
          <w:highlight w:val="none"/>
        </w:rPr>
      </w:pPr>
      <w:r>
        <w:rPr>
          <w:rFonts w:ascii="宋体" w:hAnsi="宋体"/>
          <w:bCs/>
          <w:color w:val="auto"/>
          <w:spacing w:val="10"/>
          <w:sz w:val="24"/>
          <w:szCs w:val="22"/>
          <w:highlight w:val="none"/>
        </w:rPr>
        <w:t>3</w:t>
      </w:r>
      <w:r>
        <w:rPr>
          <w:rFonts w:hint="eastAsia" w:ascii="宋体" w:hAnsi="宋体"/>
          <w:bCs/>
          <w:color w:val="auto"/>
          <w:spacing w:val="10"/>
          <w:sz w:val="24"/>
          <w:szCs w:val="22"/>
          <w:highlight w:val="none"/>
        </w:rPr>
        <w:t>.招标文件获取方式：由经办人携带营业执照</w:t>
      </w:r>
      <w:r>
        <w:rPr>
          <w:rFonts w:hint="eastAsia" w:ascii="宋体"/>
          <w:color w:val="auto"/>
          <w:sz w:val="24"/>
          <w:szCs w:val="22"/>
          <w:highlight w:val="none"/>
          <w:lang w:val="en-US" w:eastAsia="zh-CN"/>
        </w:rPr>
        <w:t>或</w:t>
      </w:r>
      <w:r>
        <w:rPr>
          <w:rFonts w:hint="eastAsia" w:ascii="宋体" w:hAnsi="宋体" w:cs="宋体"/>
          <w:color w:val="auto"/>
          <w:sz w:val="24"/>
          <w:highlight w:val="none"/>
        </w:rPr>
        <w:t>国家颁发的相关证照等</w:t>
      </w:r>
      <w:r>
        <w:rPr>
          <w:rFonts w:hint="eastAsia" w:ascii="宋体" w:hAnsi="宋体"/>
          <w:bCs/>
          <w:color w:val="auto"/>
          <w:spacing w:val="10"/>
          <w:sz w:val="24"/>
          <w:szCs w:val="22"/>
          <w:highlight w:val="none"/>
        </w:rPr>
        <w:t>资料的复印件到上述获取地点获取招标文件。不便前来现场获取文件的，可将上述资料扫描件、文件费缴纳凭证及公司名称、联系人、联系电话、联系人电子邮箱发1594260398@qq.com，并联系</w:t>
      </w:r>
      <w:r>
        <w:rPr>
          <w:rFonts w:hint="eastAsia" w:ascii="宋体" w:hAnsi="宋体"/>
          <w:bCs/>
          <w:color w:val="auto"/>
          <w:spacing w:val="10"/>
          <w:sz w:val="24"/>
          <w:szCs w:val="22"/>
          <w:highlight w:val="none"/>
          <w:lang w:eastAsia="zh-CN"/>
        </w:rPr>
        <w:t>采购代理</w:t>
      </w:r>
      <w:r>
        <w:rPr>
          <w:rFonts w:hint="eastAsia" w:ascii="宋体" w:hAnsi="宋体"/>
          <w:bCs/>
          <w:color w:val="auto"/>
          <w:spacing w:val="10"/>
          <w:sz w:val="24"/>
          <w:szCs w:val="22"/>
          <w:highlight w:val="none"/>
        </w:rPr>
        <w:t>机构确认后获取招标文件。</w:t>
      </w:r>
    </w:p>
    <w:p w14:paraId="3D0A26BF">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shd w:val="clear" w:color="FFFFFF" w:fill="D9D9D9"/>
        </w:rPr>
      </w:pPr>
      <w:r>
        <w:rPr>
          <w:rFonts w:hint="eastAsia" w:ascii="宋体" w:hAnsi="宋体" w:eastAsia="宋体" w:cs="Times New Roman"/>
          <w:bCs/>
          <w:color w:val="auto"/>
          <w:spacing w:val="10"/>
          <w:sz w:val="24"/>
          <w:szCs w:val="22"/>
          <w:highlight w:val="none"/>
          <w:shd w:val="clear" w:color="FFFFFF" w:fill="D9D9D9"/>
        </w:rPr>
        <w:t>户名：云南众高工程咨询有限公司</w:t>
      </w:r>
    </w:p>
    <w:p w14:paraId="32266A1D">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shd w:val="clear" w:color="FFFFFF" w:fill="D9D9D9"/>
        </w:rPr>
      </w:pPr>
      <w:r>
        <w:rPr>
          <w:rFonts w:hint="eastAsia" w:ascii="宋体" w:hAnsi="宋体" w:eastAsia="宋体" w:cs="Times New Roman"/>
          <w:bCs/>
          <w:color w:val="auto"/>
          <w:spacing w:val="10"/>
          <w:sz w:val="24"/>
          <w:szCs w:val="22"/>
          <w:highlight w:val="none"/>
          <w:shd w:val="clear" w:color="FFFFFF" w:fill="D9D9D9"/>
        </w:rPr>
        <w:t>开户银行：昆明市五华区农村信用合作联社马村信用社</w:t>
      </w:r>
    </w:p>
    <w:p w14:paraId="4C8B8BB6">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shd w:val="clear" w:color="FFFFFF" w:fill="D9D9D9"/>
        </w:rPr>
      </w:pPr>
      <w:r>
        <w:rPr>
          <w:rFonts w:hint="eastAsia" w:ascii="宋体" w:hAnsi="宋体" w:eastAsia="宋体" w:cs="Times New Roman"/>
          <w:bCs/>
          <w:color w:val="auto"/>
          <w:spacing w:val="10"/>
          <w:sz w:val="24"/>
          <w:szCs w:val="22"/>
          <w:highlight w:val="none"/>
          <w:shd w:val="clear" w:color="FFFFFF" w:fill="D9D9D9"/>
        </w:rPr>
        <w:t>银行账号：0100042293561012</w:t>
      </w:r>
    </w:p>
    <w:p w14:paraId="2CCE13CD">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shd w:val="clear" w:color="FFFFFF" w:fill="D9D9D9"/>
        </w:rPr>
      </w:pPr>
      <w:r>
        <w:rPr>
          <w:rFonts w:hint="eastAsia" w:ascii="宋体" w:hAnsi="宋体" w:eastAsia="宋体" w:cs="Times New Roman"/>
          <w:bCs/>
          <w:color w:val="auto"/>
          <w:spacing w:val="10"/>
          <w:sz w:val="24"/>
          <w:szCs w:val="22"/>
          <w:highlight w:val="none"/>
          <w:shd w:val="clear" w:color="FFFFFF" w:fill="D9D9D9"/>
        </w:rPr>
        <w:t>联系人：奎红美</w:t>
      </w:r>
    </w:p>
    <w:p w14:paraId="3608C9E5">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shd w:val="clear" w:color="FFFFFF" w:fill="D9D9D9"/>
        </w:rPr>
      </w:pPr>
      <w:r>
        <w:rPr>
          <w:rFonts w:hint="eastAsia" w:ascii="宋体" w:hAnsi="宋体" w:eastAsia="宋体" w:cs="Times New Roman"/>
          <w:bCs/>
          <w:color w:val="auto"/>
          <w:spacing w:val="10"/>
          <w:sz w:val="24"/>
          <w:szCs w:val="22"/>
          <w:highlight w:val="none"/>
          <w:shd w:val="clear" w:color="FFFFFF" w:fill="D9D9D9"/>
        </w:rPr>
        <w:t>财务电话：15087014195</w:t>
      </w:r>
    </w:p>
    <w:p w14:paraId="042C2F93">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rPr>
      </w:pPr>
      <w:r>
        <w:rPr>
          <w:rFonts w:hint="eastAsia" w:ascii="宋体" w:hAnsi="宋体" w:eastAsia="宋体" w:cs="Times New Roman"/>
          <w:bCs/>
          <w:color w:val="auto"/>
          <w:spacing w:val="10"/>
          <w:sz w:val="24"/>
          <w:szCs w:val="22"/>
          <w:highlight w:val="none"/>
        </w:rPr>
        <w:t>4.招标文件每套售价¥</w:t>
      </w:r>
      <w:r>
        <w:rPr>
          <w:rFonts w:hint="eastAsia" w:ascii="宋体" w:hAnsi="宋体" w:eastAsia="宋体" w:cs="Times New Roman"/>
          <w:bCs/>
          <w:color w:val="auto"/>
          <w:spacing w:val="10"/>
          <w:sz w:val="24"/>
          <w:szCs w:val="22"/>
          <w:highlight w:val="none"/>
          <w:lang w:val="en-US" w:eastAsia="zh-CN"/>
        </w:rPr>
        <w:t>6</w:t>
      </w:r>
      <w:r>
        <w:rPr>
          <w:rFonts w:hint="eastAsia" w:ascii="宋体" w:hAnsi="宋体" w:eastAsia="宋体" w:cs="Times New Roman"/>
          <w:bCs/>
          <w:color w:val="auto"/>
          <w:spacing w:val="10"/>
          <w:sz w:val="24"/>
          <w:szCs w:val="22"/>
          <w:highlight w:val="none"/>
        </w:rPr>
        <w:t>00元</w:t>
      </w:r>
      <w:r>
        <w:rPr>
          <w:rFonts w:hint="eastAsia" w:ascii="宋体" w:hAnsi="宋体" w:eastAsia="宋体" w:cs="Times New Roman"/>
          <w:bCs/>
          <w:color w:val="auto"/>
          <w:spacing w:val="10"/>
          <w:sz w:val="24"/>
          <w:szCs w:val="22"/>
          <w:highlight w:val="none"/>
          <w:lang w:val="en-US" w:eastAsia="zh-CN"/>
        </w:rPr>
        <w:t>/份</w:t>
      </w:r>
      <w:r>
        <w:rPr>
          <w:rFonts w:hint="eastAsia" w:ascii="宋体" w:hAnsi="宋体" w:eastAsia="宋体" w:cs="Times New Roman"/>
          <w:bCs/>
          <w:color w:val="auto"/>
          <w:spacing w:val="10"/>
          <w:sz w:val="24"/>
          <w:szCs w:val="22"/>
          <w:highlight w:val="none"/>
        </w:rPr>
        <w:t>，售后不退。</w:t>
      </w:r>
    </w:p>
    <w:p w14:paraId="1005124C">
      <w:pPr>
        <w:pStyle w:val="4"/>
        <w:keepNext w:val="0"/>
        <w:keepLines w:val="0"/>
        <w:pageBreakBefore w:val="0"/>
        <w:numPr>
          <w:ilvl w:val="0"/>
          <w:numId w:val="0"/>
        </w:numPr>
        <w:tabs>
          <w:tab w:val="clear" w:pos="1588"/>
        </w:tabs>
        <w:kinsoku/>
        <w:overflowPunct/>
        <w:topLinePunct w:val="0"/>
        <w:autoSpaceDE/>
        <w:autoSpaceDN/>
        <w:bidi w:val="0"/>
        <w:spacing w:before="0" w:line="360" w:lineRule="auto"/>
        <w:rPr>
          <w:rFonts w:hint="eastAsia" w:ascii="宋体" w:hAnsi="宋体" w:eastAsia="宋体" w:cs="Times New Roman"/>
          <w:color w:val="auto"/>
          <w:sz w:val="24"/>
          <w:szCs w:val="24"/>
          <w:highlight w:val="none"/>
          <w:lang w:val="en-US" w:eastAsia="zh-CN"/>
        </w:rPr>
      </w:pPr>
      <w:bookmarkStart w:id="22" w:name="_Toc2225"/>
      <w:r>
        <w:rPr>
          <w:rFonts w:hint="eastAsia" w:ascii="宋体" w:hAnsi="宋体" w:eastAsia="宋体" w:cs="Times New Roman"/>
          <w:color w:val="auto"/>
          <w:sz w:val="24"/>
          <w:szCs w:val="24"/>
          <w:highlight w:val="none"/>
          <w:lang w:val="en-US" w:eastAsia="zh-CN"/>
        </w:rPr>
        <w:t>四、投标文件</w:t>
      </w:r>
      <w:bookmarkEnd w:id="18"/>
      <w:bookmarkEnd w:id="19"/>
      <w:r>
        <w:rPr>
          <w:rFonts w:hint="eastAsia" w:ascii="宋体" w:hAnsi="宋体" w:eastAsia="宋体" w:cs="Times New Roman"/>
          <w:color w:val="auto"/>
          <w:sz w:val="24"/>
          <w:szCs w:val="24"/>
          <w:highlight w:val="none"/>
          <w:lang w:val="en-US" w:eastAsia="zh-CN"/>
        </w:rPr>
        <w:t>递交截止时间、开标时间和地点</w:t>
      </w:r>
      <w:bookmarkEnd w:id="20"/>
      <w:bookmarkEnd w:id="21"/>
      <w:bookmarkEnd w:id="22"/>
    </w:p>
    <w:p w14:paraId="710C25EF">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rPr>
      </w:pPr>
      <w:bookmarkStart w:id="23" w:name="_Toc35393794"/>
      <w:bookmarkStart w:id="24" w:name="_Toc28359084"/>
      <w:bookmarkStart w:id="25" w:name="_Toc35393625"/>
      <w:bookmarkStart w:id="26" w:name="_Toc28359007"/>
      <w:r>
        <w:rPr>
          <w:rFonts w:hint="eastAsia" w:ascii="宋体" w:hAnsi="宋体" w:eastAsia="宋体" w:cs="Times New Roman"/>
          <w:bCs/>
          <w:color w:val="auto"/>
          <w:spacing w:val="10"/>
          <w:sz w:val="24"/>
          <w:szCs w:val="22"/>
          <w:highlight w:val="none"/>
        </w:rPr>
        <w:t>1.投标文件递交截止时间：</w:t>
      </w:r>
      <w:r>
        <w:rPr>
          <w:rFonts w:hint="eastAsia" w:ascii="宋体" w:hAnsi="宋体" w:eastAsia="宋体" w:cs="Times New Roman"/>
          <w:bCs/>
          <w:color w:val="auto"/>
          <w:spacing w:val="10"/>
          <w:sz w:val="24"/>
          <w:szCs w:val="22"/>
          <w:highlight w:val="none"/>
          <w:u w:val="single"/>
        </w:rPr>
        <w:t>202</w:t>
      </w:r>
      <w:r>
        <w:rPr>
          <w:rFonts w:hint="eastAsia" w:ascii="宋体" w:hAnsi="宋体" w:eastAsia="宋体" w:cs="Times New Roman"/>
          <w:bCs/>
          <w:color w:val="auto"/>
          <w:spacing w:val="10"/>
          <w:sz w:val="24"/>
          <w:szCs w:val="22"/>
          <w:highlight w:val="none"/>
          <w:u w:val="single"/>
          <w:lang w:val="en-US" w:eastAsia="zh-CN"/>
        </w:rPr>
        <w:t>6</w:t>
      </w:r>
      <w:r>
        <w:rPr>
          <w:rFonts w:hint="eastAsia" w:ascii="宋体" w:hAnsi="宋体" w:eastAsia="宋体" w:cs="Times New Roman"/>
          <w:bCs/>
          <w:color w:val="auto"/>
          <w:spacing w:val="10"/>
          <w:sz w:val="24"/>
          <w:szCs w:val="22"/>
          <w:highlight w:val="none"/>
        </w:rPr>
        <w:t>年</w:t>
      </w:r>
      <w:r>
        <w:rPr>
          <w:rFonts w:hint="eastAsia" w:ascii="宋体" w:hAnsi="宋体" w:eastAsia="宋体" w:cs="Times New Roman"/>
          <w:bCs/>
          <w:color w:val="auto"/>
          <w:spacing w:val="10"/>
          <w:sz w:val="24"/>
          <w:szCs w:val="22"/>
          <w:highlight w:val="none"/>
          <w:u w:val="single"/>
          <w:lang w:val="en-US" w:eastAsia="zh-CN"/>
        </w:rPr>
        <w:t>11</w:t>
      </w:r>
      <w:r>
        <w:rPr>
          <w:rFonts w:hint="eastAsia" w:ascii="宋体" w:hAnsi="宋体" w:eastAsia="宋体" w:cs="Times New Roman"/>
          <w:bCs/>
          <w:color w:val="auto"/>
          <w:spacing w:val="10"/>
          <w:sz w:val="24"/>
          <w:szCs w:val="22"/>
          <w:highlight w:val="none"/>
        </w:rPr>
        <w:t>月</w:t>
      </w:r>
      <w:r>
        <w:rPr>
          <w:rFonts w:hint="eastAsia" w:ascii="宋体" w:hAnsi="宋体" w:eastAsia="宋体" w:cs="Times New Roman"/>
          <w:bCs/>
          <w:color w:val="auto"/>
          <w:spacing w:val="10"/>
          <w:sz w:val="24"/>
          <w:szCs w:val="22"/>
          <w:highlight w:val="none"/>
          <w:u w:val="single"/>
          <w:lang w:val="en-US" w:eastAsia="zh-CN"/>
        </w:rPr>
        <w:t>26</w:t>
      </w:r>
      <w:r>
        <w:rPr>
          <w:rFonts w:hint="eastAsia" w:ascii="宋体" w:hAnsi="宋体" w:eastAsia="宋体" w:cs="Times New Roman"/>
          <w:bCs/>
          <w:color w:val="auto"/>
          <w:spacing w:val="10"/>
          <w:sz w:val="24"/>
          <w:szCs w:val="22"/>
          <w:highlight w:val="none"/>
        </w:rPr>
        <w:t>日</w:t>
      </w:r>
      <w:r>
        <w:rPr>
          <w:rFonts w:hint="eastAsia" w:ascii="宋体" w:hAnsi="宋体" w:eastAsia="宋体" w:cs="Times New Roman"/>
          <w:bCs/>
          <w:color w:val="auto"/>
          <w:spacing w:val="10"/>
          <w:sz w:val="24"/>
          <w:szCs w:val="22"/>
          <w:highlight w:val="none"/>
          <w:u w:val="single"/>
          <w:lang w:val="en-US" w:eastAsia="zh-CN"/>
        </w:rPr>
        <w:t>09</w:t>
      </w:r>
      <w:r>
        <w:rPr>
          <w:rFonts w:hint="eastAsia" w:ascii="宋体" w:hAnsi="宋体" w:eastAsia="宋体" w:cs="Times New Roman"/>
          <w:bCs/>
          <w:color w:val="auto"/>
          <w:spacing w:val="10"/>
          <w:sz w:val="24"/>
          <w:szCs w:val="22"/>
          <w:highlight w:val="none"/>
          <w:u w:val="single"/>
        </w:rPr>
        <w:t>:</w:t>
      </w:r>
      <w:r>
        <w:rPr>
          <w:rFonts w:hint="eastAsia" w:ascii="宋体" w:hAnsi="宋体" w:eastAsia="宋体" w:cs="Times New Roman"/>
          <w:bCs/>
          <w:color w:val="auto"/>
          <w:spacing w:val="10"/>
          <w:sz w:val="24"/>
          <w:szCs w:val="22"/>
          <w:highlight w:val="none"/>
          <w:u w:val="single"/>
          <w:lang w:val="en-US" w:eastAsia="zh-CN"/>
        </w:rPr>
        <w:t>30</w:t>
      </w:r>
      <w:r>
        <w:rPr>
          <w:rFonts w:hint="eastAsia" w:ascii="宋体" w:hAnsi="宋体" w:eastAsia="宋体" w:cs="Times New Roman"/>
          <w:bCs/>
          <w:color w:val="auto"/>
          <w:spacing w:val="10"/>
          <w:sz w:val="24"/>
          <w:szCs w:val="22"/>
          <w:highlight w:val="none"/>
        </w:rPr>
        <w:t>（北京时间）。</w:t>
      </w:r>
    </w:p>
    <w:p w14:paraId="1CDA3E68">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rPr>
      </w:pPr>
      <w:r>
        <w:rPr>
          <w:rFonts w:hint="eastAsia" w:ascii="宋体" w:hAnsi="宋体" w:eastAsia="宋体" w:cs="Times New Roman"/>
          <w:bCs/>
          <w:color w:val="auto"/>
          <w:spacing w:val="10"/>
          <w:sz w:val="24"/>
          <w:szCs w:val="22"/>
          <w:highlight w:val="none"/>
          <w:lang w:val="en-US" w:eastAsia="zh-CN"/>
        </w:rPr>
        <w:t>2.</w:t>
      </w:r>
      <w:r>
        <w:rPr>
          <w:rFonts w:hint="eastAsia" w:ascii="宋体" w:hAnsi="宋体" w:eastAsia="宋体" w:cs="Times New Roman"/>
          <w:bCs/>
          <w:color w:val="auto"/>
          <w:spacing w:val="10"/>
          <w:sz w:val="24"/>
          <w:szCs w:val="22"/>
          <w:highlight w:val="none"/>
        </w:rPr>
        <w:t>开标时间：</w:t>
      </w:r>
      <w:r>
        <w:rPr>
          <w:rFonts w:hint="eastAsia" w:ascii="宋体" w:hAnsi="宋体" w:eastAsia="宋体" w:cs="Times New Roman"/>
          <w:bCs/>
          <w:color w:val="auto"/>
          <w:spacing w:val="10"/>
          <w:sz w:val="24"/>
          <w:szCs w:val="22"/>
          <w:highlight w:val="none"/>
          <w:u w:val="single"/>
        </w:rPr>
        <w:t>202</w:t>
      </w:r>
      <w:r>
        <w:rPr>
          <w:rFonts w:hint="eastAsia" w:ascii="宋体" w:hAnsi="宋体" w:eastAsia="宋体" w:cs="Times New Roman"/>
          <w:bCs/>
          <w:color w:val="auto"/>
          <w:spacing w:val="10"/>
          <w:sz w:val="24"/>
          <w:szCs w:val="22"/>
          <w:highlight w:val="none"/>
          <w:u w:val="single"/>
          <w:lang w:val="en-US" w:eastAsia="zh-CN"/>
        </w:rPr>
        <w:t>6</w:t>
      </w:r>
      <w:r>
        <w:rPr>
          <w:rFonts w:hint="eastAsia" w:ascii="宋体" w:hAnsi="宋体" w:eastAsia="宋体" w:cs="Times New Roman"/>
          <w:bCs/>
          <w:color w:val="auto"/>
          <w:spacing w:val="10"/>
          <w:sz w:val="24"/>
          <w:szCs w:val="22"/>
          <w:highlight w:val="none"/>
        </w:rPr>
        <w:t>年</w:t>
      </w:r>
      <w:r>
        <w:rPr>
          <w:rFonts w:hint="eastAsia" w:ascii="宋体" w:hAnsi="宋体" w:eastAsia="宋体" w:cs="Times New Roman"/>
          <w:bCs/>
          <w:color w:val="auto"/>
          <w:spacing w:val="10"/>
          <w:sz w:val="24"/>
          <w:szCs w:val="22"/>
          <w:highlight w:val="none"/>
          <w:u w:val="single"/>
          <w:lang w:val="en-US" w:eastAsia="zh-CN"/>
        </w:rPr>
        <w:t>11</w:t>
      </w:r>
      <w:r>
        <w:rPr>
          <w:rFonts w:hint="eastAsia" w:ascii="宋体" w:hAnsi="宋体" w:eastAsia="宋体" w:cs="Times New Roman"/>
          <w:bCs/>
          <w:color w:val="auto"/>
          <w:spacing w:val="10"/>
          <w:sz w:val="24"/>
          <w:szCs w:val="22"/>
          <w:highlight w:val="none"/>
        </w:rPr>
        <w:t>月</w:t>
      </w:r>
      <w:r>
        <w:rPr>
          <w:rFonts w:hint="eastAsia" w:ascii="宋体" w:hAnsi="宋体" w:eastAsia="宋体" w:cs="Times New Roman"/>
          <w:bCs/>
          <w:color w:val="auto"/>
          <w:spacing w:val="10"/>
          <w:sz w:val="24"/>
          <w:szCs w:val="22"/>
          <w:highlight w:val="none"/>
          <w:u w:val="single"/>
          <w:lang w:val="en-US" w:eastAsia="zh-CN"/>
        </w:rPr>
        <w:t>26</w:t>
      </w:r>
      <w:r>
        <w:rPr>
          <w:rFonts w:hint="eastAsia" w:ascii="宋体" w:hAnsi="宋体" w:eastAsia="宋体" w:cs="Times New Roman"/>
          <w:bCs/>
          <w:color w:val="auto"/>
          <w:spacing w:val="10"/>
          <w:sz w:val="24"/>
          <w:szCs w:val="22"/>
          <w:highlight w:val="none"/>
        </w:rPr>
        <w:t>日</w:t>
      </w:r>
      <w:r>
        <w:rPr>
          <w:rFonts w:hint="eastAsia" w:ascii="宋体" w:hAnsi="宋体" w:eastAsia="宋体" w:cs="Times New Roman"/>
          <w:bCs/>
          <w:color w:val="auto"/>
          <w:spacing w:val="10"/>
          <w:sz w:val="24"/>
          <w:szCs w:val="22"/>
          <w:highlight w:val="none"/>
          <w:u w:val="single"/>
          <w:lang w:val="en-US" w:eastAsia="zh-CN"/>
        </w:rPr>
        <w:t>09</w:t>
      </w:r>
      <w:r>
        <w:rPr>
          <w:rFonts w:hint="eastAsia" w:ascii="宋体" w:hAnsi="宋体" w:eastAsia="宋体" w:cs="Times New Roman"/>
          <w:bCs/>
          <w:color w:val="auto"/>
          <w:spacing w:val="10"/>
          <w:sz w:val="24"/>
          <w:szCs w:val="22"/>
          <w:highlight w:val="none"/>
          <w:u w:val="single"/>
        </w:rPr>
        <w:t>:</w:t>
      </w:r>
      <w:r>
        <w:rPr>
          <w:rFonts w:hint="eastAsia" w:ascii="宋体" w:hAnsi="宋体" w:eastAsia="宋体" w:cs="Times New Roman"/>
          <w:bCs/>
          <w:color w:val="auto"/>
          <w:spacing w:val="10"/>
          <w:sz w:val="24"/>
          <w:szCs w:val="22"/>
          <w:highlight w:val="none"/>
          <w:u w:val="single"/>
          <w:lang w:val="en-US" w:eastAsia="zh-CN"/>
        </w:rPr>
        <w:t>30</w:t>
      </w:r>
      <w:r>
        <w:rPr>
          <w:rFonts w:hint="eastAsia" w:ascii="宋体" w:hAnsi="宋体" w:eastAsia="宋体" w:cs="Times New Roman"/>
          <w:bCs/>
          <w:color w:val="auto"/>
          <w:spacing w:val="10"/>
          <w:sz w:val="24"/>
          <w:szCs w:val="22"/>
          <w:highlight w:val="none"/>
        </w:rPr>
        <w:t>。</w:t>
      </w:r>
    </w:p>
    <w:p w14:paraId="29D1ACD0">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rPr>
      </w:pPr>
      <w:r>
        <w:rPr>
          <w:rFonts w:hint="eastAsia" w:ascii="宋体" w:hAnsi="宋体" w:eastAsia="宋体" w:cs="Times New Roman"/>
          <w:bCs/>
          <w:color w:val="auto"/>
          <w:spacing w:val="10"/>
          <w:sz w:val="24"/>
          <w:szCs w:val="22"/>
          <w:highlight w:val="none"/>
          <w:lang w:val="en-US" w:eastAsia="zh-CN"/>
        </w:rPr>
        <w:t>3.</w:t>
      </w:r>
      <w:r>
        <w:rPr>
          <w:rFonts w:hint="eastAsia" w:ascii="宋体" w:hAnsi="宋体" w:eastAsia="宋体" w:cs="Times New Roman"/>
          <w:bCs/>
          <w:color w:val="auto"/>
          <w:spacing w:val="10"/>
          <w:sz w:val="24"/>
          <w:szCs w:val="22"/>
          <w:highlight w:val="none"/>
        </w:rPr>
        <w:t>开标地点</w:t>
      </w:r>
      <w:bookmarkStart w:id="27" w:name="OLE_LINK18"/>
      <w:bookmarkStart w:id="28" w:name="OLE_LINK19"/>
      <w:r>
        <w:rPr>
          <w:rFonts w:hint="eastAsia" w:ascii="宋体" w:hAnsi="宋体" w:eastAsia="宋体" w:cs="Times New Roman"/>
          <w:bCs/>
          <w:color w:val="auto"/>
          <w:spacing w:val="10"/>
          <w:sz w:val="24"/>
          <w:szCs w:val="22"/>
          <w:highlight w:val="none"/>
        </w:rPr>
        <w:t>：</w:t>
      </w:r>
      <w:bookmarkStart w:id="29" w:name="OLE_LINK39"/>
      <w:bookmarkStart w:id="30" w:name="OLE_LINK38"/>
      <w:r>
        <w:rPr>
          <w:rFonts w:hint="eastAsia" w:ascii="宋体" w:hAnsi="宋体" w:eastAsia="宋体" w:cs="Times New Roman"/>
          <w:bCs/>
          <w:color w:val="auto"/>
          <w:spacing w:val="10"/>
          <w:sz w:val="24"/>
          <w:szCs w:val="22"/>
          <w:highlight w:val="none"/>
        </w:rPr>
        <w:t>云南众高工程咨询有限公司（</w:t>
      </w:r>
      <w:bookmarkStart w:id="31" w:name="OLE_LINK37"/>
      <w:r>
        <w:rPr>
          <w:rFonts w:hint="eastAsia" w:ascii="宋体" w:hAnsi="宋体" w:eastAsia="宋体" w:cs="Times New Roman"/>
          <w:bCs/>
          <w:color w:val="auto"/>
          <w:spacing w:val="10"/>
          <w:sz w:val="24"/>
          <w:szCs w:val="22"/>
          <w:highlight w:val="none"/>
        </w:rPr>
        <w:t>昆明市盘龙区北辰大道1号美立方商业广场B座16楼）开标厅</w:t>
      </w:r>
      <w:bookmarkEnd w:id="27"/>
      <w:bookmarkEnd w:id="28"/>
      <w:bookmarkEnd w:id="31"/>
      <w:r>
        <w:rPr>
          <w:rFonts w:hint="eastAsia" w:ascii="宋体" w:hAnsi="宋体" w:eastAsia="宋体" w:cs="Times New Roman"/>
          <w:bCs/>
          <w:color w:val="auto"/>
          <w:spacing w:val="10"/>
          <w:sz w:val="24"/>
          <w:szCs w:val="22"/>
          <w:highlight w:val="none"/>
        </w:rPr>
        <w:t>。</w:t>
      </w:r>
    </w:p>
    <w:bookmarkEnd w:id="29"/>
    <w:bookmarkEnd w:id="30"/>
    <w:p w14:paraId="2CA53D70">
      <w:pPr>
        <w:pStyle w:val="4"/>
        <w:keepNext w:val="0"/>
        <w:keepLines w:val="0"/>
        <w:pageBreakBefore w:val="0"/>
        <w:numPr>
          <w:ilvl w:val="0"/>
          <w:numId w:val="0"/>
        </w:numPr>
        <w:tabs>
          <w:tab w:val="clear" w:pos="1588"/>
        </w:tabs>
        <w:kinsoku/>
        <w:overflowPunct/>
        <w:topLinePunct w:val="0"/>
        <w:autoSpaceDE/>
        <w:autoSpaceDN/>
        <w:bidi w:val="0"/>
        <w:spacing w:before="0" w:line="360" w:lineRule="auto"/>
        <w:rPr>
          <w:rFonts w:hint="eastAsia" w:ascii="宋体" w:hAnsi="宋体" w:eastAsia="宋体" w:cs="Times New Roman"/>
          <w:color w:val="auto"/>
          <w:sz w:val="24"/>
          <w:szCs w:val="24"/>
          <w:highlight w:val="none"/>
          <w:lang w:val="en-US" w:eastAsia="zh-CN"/>
        </w:rPr>
      </w:pPr>
      <w:bookmarkStart w:id="32" w:name="_Toc7319"/>
      <w:r>
        <w:rPr>
          <w:rFonts w:hint="eastAsia" w:ascii="宋体" w:hAnsi="宋体" w:eastAsia="宋体" w:cs="Times New Roman"/>
          <w:color w:val="auto"/>
          <w:sz w:val="24"/>
          <w:szCs w:val="24"/>
          <w:highlight w:val="none"/>
          <w:lang w:val="en-US" w:eastAsia="zh-CN"/>
        </w:rPr>
        <w:t>五、公告期限</w:t>
      </w:r>
      <w:bookmarkEnd w:id="23"/>
      <w:bookmarkEnd w:id="24"/>
      <w:bookmarkEnd w:id="25"/>
      <w:bookmarkEnd w:id="26"/>
      <w:bookmarkEnd w:id="32"/>
    </w:p>
    <w:p w14:paraId="682917B8">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rPr>
      </w:pPr>
      <w:r>
        <w:rPr>
          <w:rFonts w:hint="eastAsia" w:ascii="宋体" w:hAnsi="宋体" w:eastAsia="宋体" w:cs="Times New Roman"/>
          <w:bCs/>
          <w:color w:val="auto"/>
          <w:spacing w:val="10"/>
          <w:sz w:val="24"/>
          <w:szCs w:val="22"/>
          <w:highlight w:val="none"/>
        </w:rPr>
        <w:t>自本公告发布之日起5个工作日。</w:t>
      </w:r>
    </w:p>
    <w:p w14:paraId="3BDE6CDB">
      <w:pPr>
        <w:pStyle w:val="4"/>
        <w:keepNext w:val="0"/>
        <w:keepLines w:val="0"/>
        <w:pageBreakBefore w:val="0"/>
        <w:numPr>
          <w:ilvl w:val="0"/>
          <w:numId w:val="0"/>
        </w:numPr>
        <w:tabs>
          <w:tab w:val="clear" w:pos="1588"/>
        </w:tabs>
        <w:kinsoku/>
        <w:overflowPunct/>
        <w:topLinePunct w:val="0"/>
        <w:autoSpaceDE/>
        <w:autoSpaceDN/>
        <w:bidi w:val="0"/>
        <w:spacing w:before="0" w:line="360" w:lineRule="auto"/>
        <w:rPr>
          <w:rFonts w:hint="eastAsia" w:ascii="宋体" w:hAnsi="宋体" w:eastAsia="宋体" w:cs="Times New Roman"/>
          <w:color w:val="auto"/>
          <w:sz w:val="24"/>
          <w:szCs w:val="24"/>
          <w:highlight w:val="none"/>
          <w:lang w:val="en-US" w:eastAsia="zh-CN"/>
        </w:rPr>
      </w:pPr>
      <w:bookmarkStart w:id="33" w:name="_Toc35393626"/>
      <w:bookmarkStart w:id="34" w:name="_Toc35393795"/>
      <w:bookmarkStart w:id="35" w:name="_Toc27703"/>
      <w:r>
        <w:rPr>
          <w:rFonts w:hint="eastAsia" w:ascii="宋体" w:hAnsi="宋体" w:eastAsia="宋体" w:cs="Times New Roman"/>
          <w:color w:val="auto"/>
          <w:sz w:val="24"/>
          <w:szCs w:val="24"/>
          <w:highlight w:val="none"/>
          <w:lang w:val="en-US" w:eastAsia="zh-CN"/>
        </w:rPr>
        <w:t>六、其他补充事宜</w:t>
      </w:r>
      <w:bookmarkEnd w:id="33"/>
      <w:bookmarkEnd w:id="34"/>
      <w:bookmarkEnd w:id="35"/>
    </w:p>
    <w:p w14:paraId="6E6033DD">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rPr>
      </w:pPr>
      <w:r>
        <w:rPr>
          <w:rFonts w:hint="eastAsia" w:ascii="宋体" w:hAnsi="宋体" w:eastAsia="宋体" w:cs="Times New Roman"/>
          <w:bCs/>
          <w:color w:val="auto"/>
          <w:spacing w:val="10"/>
          <w:sz w:val="24"/>
          <w:szCs w:val="22"/>
          <w:highlight w:val="none"/>
        </w:rPr>
        <w:t>本项目公告发布媒介为“中国政府采购网”（http://www.ccgp.gov.cn/），我公司对其他网站转载的公告信息不承担任何责任。</w:t>
      </w:r>
    </w:p>
    <w:p w14:paraId="47F6E4E0">
      <w:pPr>
        <w:pStyle w:val="4"/>
        <w:keepNext w:val="0"/>
        <w:keepLines w:val="0"/>
        <w:pageBreakBefore w:val="0"/>
        <w:numPr>
          <w:ilvl w:val="0"/>
          <w:numId w:val="0"/>
        </w:numPr>
        <w:tabs>
          <w:tab w:val="clear" w:pos="1588"/>
        </w:tabs>
        <w:kinsoku/>
        <w:overflowPunct/>
        <w:topLinePunct w:val="0"/>
        <w:autoSpaceDE/>
        <w:autoSpaceDN/>
        <w:bidi w:val="0"/>
        <w:spacing w:before="0" w:line="360" w:lineRule="auto"/>
        <w:rPr>
          <w:rFonts w:hint="eastAsia" w:ascii="宋体" w:hAnsi="宋体" w:eastAsia="宋体" w:cs="Times New Roman"/>
          <w:color w:val="auto"/>
          <w:sz w:val="24"/>
          <w:szCs w:val="24"/>
          <w:highlight w:val="none"/>
          <w:lang w:val="en-US" w:eastAsia="zh-CN"/>
        </w:rPr>
      </w:pPr>
      <w:bookmarkStart w:id="36" w:name="_Toc28359085"/>
      <w:bookmarkStart w:id="37" w:name="_Toc27091"/>
      <w:bookmarkStart w:id="38" w:name="_Toc35393627"/>
      <w:bookmarkStart w:id="39" w:name="_Toc28359008"/>
      <w:bookmarkStart w:id="40" w:name="_Toc35393796"/>
    </w:p>
    <w:p w14:paraId="723B5230">
      <w:pPr>
        <w:pStyle w:val="4"/>
        <w:keepNext w:val="0"/>
        <w:keepLines w:val="0"/>
        <w:pageBreakBefore w:val="0"/>
        <w:numPr>
          <w:ilvl w:val="0"/>
          <w:numId w:val="0"/>
        </w:numPr>
        <w:tabs>
          <w:tab w:val="clear" w:pos="1588"/>
        </w:tabs>
        <w:kinsoku/>
        <w:overflowPunct/>
        <w:topLinePunct w:val="0"/>
        <w:autoSpaceDE/>
        <w:autoSpaceDN/>
        <w:bidi w:val="0"/>
        <w:spacing w:before="0" w:line="360" w:lineRule="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七、对本次招标提出询问，请按以下方式联系</w:t>
      </w:r>
      <w:bookmarkEnd w:id="36"/>
      <w:bookmarkEnd w:id="37"/>
      <w:bookmarkEnd w:id="38"/>
      <w:bookmarkEnd w:id="39"/>
      <w:bookmarkEnd w:id="40"/>
    </w:p>
    <w:p w14:paraId="264F642C">
      <w:pPr>
        <w:keepNext w:val="0"/>
        <w:keepLines w:val="0"/>
        <w:pageBreakBefore w:val="0"/>
        <w:kinsoku/>
        <w:overflowPunct/>
        <w:topLinePunct w:val="0"/>
        <w:autoSpaceDE/>
        <w:autoSpaceDN/>
        <w:bidi w:val="0"/>
        <w:spacing w:line="360" w:lineRule="auto"/>
        <w:ind w:firstLine="522" w:firstLineChars="200"/>
        <w:rPr>
          <w:rFonts w:hint="eastAsia" w:ascii="宋体" w:hAnsi="宋体" w:eastAsia="宋体" w:cs="Times New Roman"/>
          <w:b/>
          <w:bCs w:val="0"/>
          <w:color w:val="auto"/>
          <w:spacing w:val="10"/>
          <w:sz w:val="24"/>
          <w:szCs w:val="22"/>
          <w:highlight w:val="none"/>
        </w:rPr>
      </w:pPr>
      <w:bookmarkStart w:id="41" w:name="_Toc28359087"/>
      <w:bookmarkStart w:id="42" w:name="_Toc28359010"/>
      <w:r>
        <w:rPr>
          <w:rFonts w:hint="eastAsia" w:ascii="宋体" w:hAnsi="宋体" w:eastAsia="宋体" w:cs="Times New Roman"/>
          <w:b/>
          <w:bCs w:val="0"/>
          <w:color w:val="auto"/>
          <w:spacing w:val="10"/>
          <w:sz w:val="24"/>
          <w:szCs w:val="22"/>
          <w:highlight w:val="none"/>
        </w:rPr>
        <w:t>1.采购人信息</w:t>
      </w:r>
    </w:p>
    <w:p w14:paraId="6A34B134">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lang w:eastAsia="zh-CN"/>
        </w:rPr>
      </w:pPr>
      <w:bookmarkStart w:id="43" w:name="_Toc28359009"/>
      <w:bookmarkStart w:id="44" w:name="_Toc28359086"/>
      <w:r>
        <w:rPr>
          <w:rFonts w:hint="eastAsia" w:ascii="宋体" w:hAnsi="宋体" w:eastAsia="宋体" w:cs="Times New Roman"/>
          <w:bCs/>
          <w:color w:val="auto"/>
          <w:spacing w:val="10"/>
          <w:sz w:val="24"/>
          <w:szCs w:val="22"/>
          <w:highlight w:val="none"/>
        </w:rPr>
        <w:t>名称：</w:t>
      </w:r>
      <w:r>
        <w:rPr>
          <w:rFonts w:hint="eastAsia" w:ascii="宋体" w:hAnsi="宋体" w:eastAsia="宋体" w:cs="Times New Roman"/>
          <w:bCs/>
          <w:color w:val="auto"/>
          <w:spacing w:val="10"/>
          <w:sz w:val="24"/>
          <w:szCs w:val="22"/>
          <w:highlight w:val="none"/>
          <w:lang w:eastAsia="zh-CN"/>
        </w:rPr>
        <w:t>国家林业和草原局西南调查规划院</w:t>
      </w:r>
    </w:p>
    <w:p w14:paraId="1D32B6C3">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rPr>
      </w:pPr>
      <w:r>
        <w:rPr>
          <w:rFonts w:hint="eastAsia" w:ascii="宋体" w:hAnsi="宋体" w:eastAsia="宋体" w:cs="Times New Roman"/>
          <w:bCs/>
          <w:color w:val="auto"/>
          <w:spacing w:val="10"/>
          <w:sz w:val="24"/>
          <w:szCs w:val="22"/>
          <w:highlight w:val="none"/>
        </w:rPr>
        <w:t>地址：云南省昆明市一二一大街71号</w:t>
      </w:r>
    </w:p>
    <w:p w14:paraId="1F0F1EFB">
      <w:pPr>
        <w:keepNext w:val="0"/>
        <w:keepLines w:val="0"/>
        <w:pageBreakBefore w:val="0"/>
        <w:kinsoku/>
        <w:overflowPunct/>
        <w:topLinePunct w:val="0"/>
        <w:autoSpaceDE/>
        <w:autoSpaceDN/>
        <w:bidi w:val="0"/>
        <w:spacing w:line="360" w:lineRule="auto"/>
        <w:ind w:firstLine="520" w:firstLineChars="200"/>
        <w:rPr>
          <w:rFonts w:hint="default" w:ascii="宋体" w:hAnsi="宋体" w:eastAsia="宋体" w:cs="Times New Roman"/>
          <w:bCs/>
          <w:color w:val="auto"/>
          <w:spacing w:val="10"/>
          <w:sz w:val="24"/>
          <w:szCs w:val="22"/>
          <w:highlight w:val="none"/>
          <w:lang w:val="en-US" w:eastAsia="zh-CN"/>
        </w:rPr>
      </w:pPr>
      <w:r>
        <w:rPr>
          <w:rFonts w:hint="eastAsia" w:ascii="宋体" w:hAnsi="宋体" w:eastAsia="宋体" w:cs="Times New Roman"/>
          <w:bCs/>
          <w:color w:val="auto"/>
          <w:spacing w:val="10"/>
          <w:sz w:val="24"/>
          <w:szCs w:val="22"/>
          <w:highlight w:val="none"/>
          <w:lang w:val="en-US" w:eastAsia="zh-CN"/>
        </w:rPr>
        <w:t>联系方式：张老师 0871-65163332</w:t>
      </w:r>
    </w:p>
    <w:p w14:paraId="2ACD13AF">
      <w:pPr>
        <w:keepNext w:val="0"/>
        <w:keepLines w:val="0"/>
        <w:pageBreakBefore w:val="0"/>
        <w:kinsoku/>
        <w:overflowPunct/>
        <w:topLinePunct w:val="0"/>
        <w:autoSpaceDE/>
        <w:autoSpaceDN/>
        <w:bidi w:val="0"/>
        <w:spacing w:line="360" w:lineRule="auto"/>
        <w:ind w:firstLine="522" w:firstLineChars="200"/>
        <w:rPr>
          <w:rFonts w:hint="eastAsia" w:ascii="宋体" w:hAnsi="宋体" w:eastAsia="宋体" w:cs="Times New Roman"/>
          <w:b/>
          <w:bCs w:val="0"/>
          <w:color w:val="auto"/>
          <w:spacing w:val="10"/>
          <w:sz w:val="24"/>
          <w:szCs w:val="22"/>
          <w:highlight w:val="none"/>
        </w:rPr>
      </w:pPr>
      <w:r>
        <w:rPr>
          <w:rFonts w:hint="eastAsia" w:ascii="宋体" w:hAnsi="宋体" w:eastAsia="宋体" w:cs="Times New Roman"/>
          <w:b/>
          <w:bCs w:val="0"/>
          <w:color w:val="auto"/>
          <w:spacing w:val="10"/>
          <w:sz w:val="24"/>
          <w:szCs w:val="22"/>
          <w:highlight w:val="none"/>
        </w:rPr>
        <w:t>2.采购代理机构信息</w:t>
      </w:r>
      <w:bookmarkEnd w:id="43"/>
      <w:bookmarkEnd w:id="44"/>
    </w:p>
    <w:p w14:paraId="0E310194">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rPr>
      </w:pPr>
      <w:r>
        <w:rPr>
          <w:rFonts w:hint="eastAsia" w:ascii="宋体" w:hAnsi="宋体" w:eastAsia="宋体" w:cs="Times New Roman"/>
          <w:bCs/>
          <w:color w:val="auto"/>
          <w:spacing w:val="10"/>
          <w:sz w:val="24"/>
          <w:szCs w:val="22"/>
          <w:highlight w:val="none"/>
        </w:rPr>
        <w:t>名称：云南众高工程咨询有限公司</w:t>
      </w:r>
    </w:p>
    <w:p w14:paraId="178C53A3">
      <w:pPr>
        <w:keepNext w:val="0"/>
        <w:keepLines w:val="0"/>
        <w:pageBreakBefore w:val="0"/>
        <w:kinsoku/>
        <w:overflowPunct/>
        <w:topLinePunct w:val="0"/>
        <w:autoSpaceDE/>
        <w:autoSpaceDN/>
        <w:bidi w:val="0"/>
        <w:spacing w:line="360" w:lineRule="auto"/>
        <w:ind w:firstLine="520" w:firstLineChars="200"/>
        <w:rPr>
          <w:rFonts w:hint="eastAsia" w:ascii="宋体" w:hAnsi="宋体" w:eastAsia="宋体" w:cs="Times New Roman"/>
          <w:bCs/>
          <w:color w:val="auto"/>
          <w:spacing w:val="10"/>
          <w:sz w:val="24"/>
          <w:szCs w:val="22"/>
          <w:highlight w:val="none"/>
        </w:rPr>
      </w:pPr>
      <w:r>
        <w:rPr>
          <w:rFonts w:hint="eastAsia" w:ascii="宋体" w:hAnsi="宋体" w:eastAsia="宋体" w:cs="Times New Roman"/>
          <w:bCs/>
          <w:color w:val="auto"/>
          <w:spacing w:val="10"/>
          <w:sz w:val="24"/>
          <w:szCs w:val="22"/>
          <w:highlight w:val="none"/>
        </w:rPr>
        <w:t>地址：昆明市盘龙区北辰大道1号美立方商业广场B座16楼</w:t>
      </w:r>
    </w:p>
    <w:p w14:paraId="455A5627">
      <w:pPr>
        <w:keepNext w:val="0"/>
        <w:keepLines w:val="0"/>
        <w:pageBreakBefore w:val="0"/>
        <w:kinsoku/>
        <w:overflowPunct/>
        <w:topLinePunct w:val="0"/>
        <w:autoSpaceDE/>
        <w:autoSpaceDN/>
        <w:bidi w:val="0"/>
        <w:spacing w:line="360" w:lineRule="auto"/>
        <w:ind w:firstLine="520" w:firstLineChars="200"/>
        <w:rPr>
          <w:rFonts w:hint="default" w:ascii="宋体" w:hAnsi="宋体" w:eastAsia="宋体" w:cs="Times New Roman"/>
          <w:bCs/>
          <w:color w:val="auto"/>
          <w:spacing w:val="10"/>
          <w:sz w:val="24"/>
          <w:szCs w:val="22"/>
          <w:highlight w:val="none"/>
          <w:lang w:val="en-US" w:eastAsia="zh-CN"/>
        </w:rPr>
      </w:pPr>
      <w:r>
        <w:rPr>
          <w:rFonts w:hint="eastAsia" w:ascii="宋体" w:hAnsi="宋体" w:eastAsia="宋体" w:cs="Times New Roman"/>
          <w:bCs/>
          <w:color w:val="auto"/>
          <w:spacing w:val="10"/>
          <w:sz w:val="24"/>
          <w:szCs w:val="22"/>
          <w:highlight w:val="none"/>
        </w:rPr>
        <w:t>联系人：</w:t>
      </w:r>
      <w:r>
        <w:rPr>
          <w:rFonts w:hint="eastAsia" w:ascii="宋体" w:hAnsi="宋体" w:eastAsia="宋体" w:cs="Times New Roman"/>
          <w:bCs/>
          <w:color w:val="auto"/>
          <w:spacing w:val="10"/>
          <w:sz w:val="24"/>
          <w:szCs w:val="22"/>
          <w:highlight w:val="none"/>
          <w:lang w:val="en-US" w:eastAsia="zh-CN"/>
        </w:rPr>
        <w:t>罗辅、</w:t>
      </w:r>
      <w:r>
        <w:rPr>
          <w:rFonts w:hint="eastAsia" w:ascii="宋体" w:hAnsi="宋体" w:eastAsia="宋体" w:cs="Times New Roman"/>
          <w:bCs/>
          <w:color w:val="auto"/>
          <w:spacing w:val="10"/>
          <w:sz w:val="24"/>
          <w:szCs w:val="22"/>
          <w:highlight w:val="none"/>
        </w:rPr>
        <w:t>王蒙、</w:t>
      </w:r>
      <w:r>
        <w:rPr>
          <w:rFonts w:hint="eastAsia" w:ascii="宋体" w:hAnsi="宋体" w:eastAsia="宋体" w:cs="Times New Roman"/>
          <w:bCs/>
          <w:color w:val="auto"/>
          <w:spacing w:val="10"/>
          <w:sz w:val="24"/>
          <w:szCs w:val="22"/>
          <w:highlight w:val="none"/>
          <w:lang w:val="en-US" w:eastAsia="zh-CN"/>
        </w:rPr>
        <w:t>可兆伟、陈主娥、</w:t>
      </w:r>
      <w:r>
        <w:rPr>
          <w:rFonts w:hint="eastAsia" w:ascii="宋体" w:hAnsi="宋体" w:eastAsia="宋体" w:cs="Times New Roman"/>
          <w:bCs/>
          <w:color w:val="auto"/>
          <w:spacing w:val="10"/>
          <w:sz w:val="24"/>
          <w:szCs w:val="22"/>
          <w:highlight w:val="none"/>
        </w:rPr>
        <w:t>卯明艳</w:t>
      </w:r>
      <w:r>
        <w:rPr>
          <w:rFonts w:hint="eastAsia" w:ascii="宋体" w:hAnsi="宋体" w:eastAsia="宋体" w:cs="Times New Roman"/>
          <w:bCs/>
          <w:color w:val="auto"/>
          <w:spacing w:val="10"/>
          <w:sz w:val="24"/>
          <w:szCs w:val="22"/>
          <w:highlight w:val="none"/>
          <w:lang w:val="en-US" w:eastAsia="zh-CN"/>
        </w:rPr>
        <w:t>、罗浩、张晗</w:t>
      </w:r>
    </w:p>
    <w:p w14:paraId="1FF2E5CF">
      <w:pPr>
        <w:keepNext w:val="0"/>
        <w:keepLines w:val="0"/>
        <w:pageBreakBefore w:val="0"/>
        <w:kinsoku/>
        <w:overflowPunct/>
        <w:topLinePunct w:val="0"/>
        <w:autoSpaceDE/>
        <w:autoSpaceDN/>
        <w:bidi w:val="0"/>
        <w:spacing w:line="360" w:lineRule="auto"/>
        <w:ind w:firstLine="520" w:firstLineChars="200"/>
        <w:rPr>
          <w:rFonts w:ascii="宋体" w:hAnsi="宋体"/>
          <w:bCs/>
          <w:color w:val="auto"/>
          <w:spacing w:val="10"/>
          <w:sz w:val="24"/>
          <w:szCs w:val="22"/>
          <w:highlight w:val="none"/>
        </w:rPr>
      </w:pPr>
      <w:r>
        <w:rPr>
          <w:rFonts w:hint="eastAsia" w:ascii="宋体" w:hAnsi="宋体" w:eastAsia="宋体" w:cs="Times New Roman"/>
          <w:bCs/>
          <w:color w:val="auto"/>
          <w:spacing w:val="10"/>
          <w:sz w:val="24"/>
          <w:szCs w:val="22"/>
          <w:highlight w:val="none"/>
        </w:rPr>
        <w:t>电话：0871-67357686</w:t>
      </w:r>
    </w:p>
    <w:bookmarkEnd w:id="41"/>
    <w:bookmarkEnd w:id="42"/>
    <w:p w14:paraId="4862AF66">
      <w:pPr>
        <w:spacing w:line="400" w:lineRule="exact"/>
        <w:rPr>
          <w:rFonts w:ascii="宋体" w:hAnsi="宋体"/>
          <w:bCs/>
          <w:color w:val="auto"/>
          <w:spacing w:val="10"/>
          <w:sz w:val="24"/>
          <w:highlight w:val="none"/>
        </w:rPr>
      </w:pPr>
      <w:r>
        <w:rPr>
          <w:rFonts w:ascii="宋体" w:hAnsi="宋体"/>
          <w:bCs/>
          <w:color w:val="auto"/>
          <w:spacing w:val="10"/>
          <w:sz w:val="24"/>
          <w:highlight w:val="none"/>
        </w:rPr>
        <w:br w:type="page"/>
      </w:r>
    </w:p>
    <w:p w14:paraId="183718F6">
      <w:pPr>
        <w:spacing w:line="400" w:lineRule="exact"/>
        <w:rPr>
          <w:rFonts w:hint="eastAsia" w:ascii="宋体" w:hAnsi="宋体"/>
          <w:bCs/>
          <w:color w:val="auto"/>
          <w:spacing w:val="10"/>
          <w:sz w:val="24"/>
          <w:highlight w:val="none"/>
          <w:lang w:val="en-US" w:eastAsia="zh-CN"/>
        </w:rPr>
      </w:pPr>
      <w:r>
        <w:rPr>
          <w:rFonts w:hint="eastAsia" w:ascii="宋体" w:hAnsi="宋体"/>
          <w:bCs/>
          <w:color w:val="auto"/>
          <w:spacing w:val="10"/>
          <w:sz w:val="24"/>
          <w:highlight w:val="none"/>
          <w:lang w:val="en-US" w:eastAsia="zh-CN"/>
        </w:rPr>
        <w:t>附件：</w:t>
      </w:r>
    </w:p>
    <w:p w14:paraId="01D2EEBA">
      <w:pPr>
        <w:pStyle w:val="3"/>
        <w:numPr>
          <w:ilvl w:val="0"/>
          <w:numId w:val="0"/>
        </w:numPr>
        <w:tabs>
          <w:tab w:val="clear" w:pos="880"/>
        </w:tabs>
        <w:spacing w:before="0"/>
        <w:jc w:val="center"/>
        <w:rPr>
          <w:rFonts w:hint="eastAsia" w:ascii="宋体" w:hAnsi="宋体" w:eastAsia="宋体" w:cs="宋体"/>
          <w:color w:val="auto"/>
          <w:szCs w:val="28"/>
          <w:highlight w:val="none"/>
          <w:lang w:val="en-US" w:eastAsia="zh-CN"/>
        </w:rPr>
      </w:pPr>
      <w:bookmarkStart w:id="45" w:name="_Toc16437"/>
      <w:r>
        <w:rPr>
          <w:rFonts w:hint="eastAsia" w:ascii="宋体" w:hAnsi="宋体" w:eastAsia="宋体" w:cs="宋体"/>
          <w:color w:val="auto"/>
          <w:szCs w:val="28"/>
          <w:highlight w:val="none"/>
          <w:lang w:val="en-US" w:eastAsia="zh-CN"/>
        </w:rPr>
        <w:t>《技术参数要求》</w:t>
      </w:r>
      <w:bookmarkEnd w:id="45"/>
    </w:p>
    <w:p w14:paraId="2E14185C">
      <w:pPr>
        <w:rPr>
          <w:rFonts w:hint="eastAsia"/>
          <w:color w:val="auto"/>
          <w:highlight w:val="none"/>
          <w:lang w:val="en-US" w:eastAsia="zh-CN"/>
        </w:rPr>
      </w:pPr>
    </w:p>
    <w:p w14:paraId="436A2796">
      <w:pPr>
        <w:rPr>
          <w:rFonts w:hint="eastAsia"/>
          <w:color w:val="auto"/>
          <w:highlight w:val="none"/>
        </w:rPr>
      </w:pPr>
      <w:r>
        <w:rPr>
          <w:rFonts w:hint="eastAsia" w:ascii="宋体" w:hAnsi="宋体" w:eastAsia="宋体" w:cs="宋体"/>
          <w:b/>
          <w:bCs/>
          <w:color w:val="auto"/>
          <w:sz w:val="24"/>
          <w:szCs w:val="24"/>
          <w:highlight w:val="none"/>
          <w:lang w:val="en-US" w:eastAsia="zh-CN"/>
        </w:rPr>
        <w:t>1标段：特别说明：标注</w:t>
      </w:r>
      <w:r>
        <w:rPr>
          <w:rFonts w:hint="eastAsia" w:ascii="宋体" w:hAnsi="宋体" w:eastAsia="宋体" w:cs="宋体"/>
          <w:b/>
          <w:bCs/>
          <w:i w:val="0"/>
          <w:iCs w:val="0"/>
          <w:color w:val="auto"/>
          <w:kern w:val="0"/>
          <w:sz w:val="24"/>
          <w:szCs w:val="24"/>
          <w:highlight w:val="none"/>
          <w:u w:val="none"/>
          <w:lang w:val="en-US" w:eastAsia="zh-CN" w:bidi="ar"/>
        </w:rPr>
        <w:t>▲符号的参数为重要技术参数，共计44项。</w:t>
      </w:r>
    </w:p>
    <w:tbl>
      <w:tblPr>
        <w:tblStyle w:val="5"/>
        <w:tblW w:w="96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2"/>
        <w:gridCol w:w="834"/>
        <w:gridCol w:w="7180"/>
        <w:gridCol w:w="907"/>
      </w:tblGrid>
      <w:tr w14:paraId="4F1F1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16DDCED5">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834" w:type="dxa"/>
            <w:tcBorders>
              <w:top w:val="single" w:color="000000" w:sz="4" w:space="0"/>
              <w:left w:val="single" w:color="000000" w:sz="4" w:space="0"/>
              <w:bottom w:val="single" w:color="000000" w:sz="4" w:space="0"/>
              <w:right w:val="single" w:color="000000" w:sz="4" w:space="0"/>
            </w:tcBorders>
            <w:noWrap/>
            <w:vAlign w:val="center"/>
          </w:tcPr>
          <w:p w14:paraId="0BB1850E">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设备清单</w:t>
            </w:r>
          </w:p>
        </w:tc>
        <w:tc>
          <w:tcPr>
            <w:tcW w:w="7180" w:type="dxa"/>
            <w:tcBorders>
              <w:top w:val="single" w:color="000000" w:sz="4" w:space="0"/>
              <w:left w:val="single" w:color="000000" w:sz="4" w:space="0"/>
              <w:bottom w:val="single" w:color="000000" w:sz="4" w:space="0"/>
              <w:right w:val="single" w:color="000000" w:sz="4" w:space="0"/>
            </w:tcBorders>
            <w:noWrap/>
            <w:vAlign w:val="center"/>
          </w:tcPr>
          <w:p w14:paraId="038534E1">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设备型号、参数</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7249B3B">
            <w:pPr>
              <w:keepNext w:val="0"/>
              <w:keepLines w:val="0"/>
              <w:pageBreakBefore w:val="0"/>
              <w:widowControl/>
              <w:suppressLineNumbers w:val="0"/>
              <w:kinsoku/>
              <w:wordWrap/>
              <w:overflowPunct/>
              <w:autoSpaceDE/>
              <w:autoSpaceDN/>
              <w:bidi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38A00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696" w:type="dxa"/>
            <w:gridSpan w:val="3"/>
            <w:tcBorders>
              <w:top w:val="single" w:color="000000" w:sz="4" w:space="0"/>
              <w:left w:val="single" w:color="000000" w:sz="4" w:space="0"/>
              <w:bottom w:val="single" w:color="000000" w:sz="4" w:space="0"/>
              <w:right w:val="single" w:color="000000" w:sz="4" w:space="0"/>
            </w:tcBorders>
            <w:noWrap/>
            <w:vAlign w:val="center"/>
          </w:tcPr>
          <w:p w14:paraId="47D5D64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第一部分  低空监测装备体系建设</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64B78D12">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6C8C9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42EBFABA">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1</w:t>
            </w:r>
          </w:p>
        </w:tc>
        <w:tc>
          <w:tcPr>
            <w:tcW w:w="8014" w:type="dxa"/>
            <w:gridSpan w:val="2"/>
            <w:tcBorders>
              <w:top w:val="single" w:color="000000" w:sz="4" w:space="0"/>
              <w:left w:val="single" w:color="000000" w:sz="4" w:space="0"/>
              <w:bottom w:val="single" w:color="000000" w:sz="4" w:space="0"/>
              <w:right w:val="single" w:color="000000" w:sz="4" w:space="0"/>
            </w:tcBorders>
            <w:noWrap/>
            <w:vAlign w:val="center"/>
          </w:tcPr>
          <w:p w14:paraId="086FEF83">
            <w:pPr>
              <w:keepNext w:val="0"/>
              <w:keepLines w:val="0"/>
              <w:pageBreakBefore w:val="0"/>
              <w:widowControl/>
              <w:suppressLineNumbers w:val="0"/>
              <w:kinsoku/>
              <w:wordWrap/>
              <w:overflowPunct/>
              <w:autoSpaceDE/>
              <w:autoSpaceDN/>
              <w:bidi w:val="0"/>
              <w:jc w:val="both"/>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低空数据采集平台</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47CF95E1">
            <w:pPr>
              <w:keepNext w:val="0"/>
              <w:keepLines w:val="0"/>
              <w:pageBreakBefore w:val="0"/>
              <w:widowControl/>
              <w:suppressLineNumbers w:val="0"/>
              <w:kinsoku/>
              <w:wordWrap/>
              <w:overflowPunct/>
              <w:autoSpaceDE/>
              <w:autoSpaceDN/>
              <w:bidi w:val="0"/>
              <w:jc w:val="both"/>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270C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643FDDAE">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834" w:type="dxa"/>
            <w:tcBorders>
              <w:top w:val="single" w:color="000000" w:sz="4" w:space="0"/>
              <w:left w:val="single" w:color="000000" w:sz="4" w:space="0"/>
              <w:bottom w:val="single" w:color="000000" w:sz="4" w:space="0"/>
              <w:right w:val="single" w:color="000000" w:sz="4" w:space="0"/>
            </w:tcBorders>
            <w:noWrap w:val="0"/>
            <w:vAlign w:val="center"/>
          </w:tcPr>
          <w:p w14:paraId="7A655471">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复合翼无人机</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0FAF16B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1、无人机须采用固定翼与多旋翼结合的复合翼布局形式；</w:t>
            </w:r>
          </w:p>
          <w:p w14:paraId="134EFB8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2、最大起飞重量≥15kg；</w:t>
            </w:r>
          </w:p>
          <w:p w14:paraId="28AD36C2">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3、最大任务载荷≥3kg；</w:t>
            </w:r>
          </w:p>
          <w:p w14:paraId="4D7C063F">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▲4、无人机空载续航时间须≥180min，搭载光电吊舱设备时，续航时间须≥120min；</w:t>
            </w:r>
          </w:p>
          <w:p w14:paraId="356ED8E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5、无人机抗风能力须≥6级；</w:t>
            </w:r>
          </w:p>
          <w:p w14:paraId="7D14EC9C">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6、降落精度＜30cm；</w:t>
            </w:r>
          </w:p>
          <w:p w14:paraId="0994D8AD">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▲7、满足起飞地面高度4000m以上；</w:t>
            </w:r>
          </w:p>
          <w:p w14:paraId="2D9768D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8、飞行器空速管具有低温自动加热排水功能，防止高海拔、低温、高湿等复杂环境下空速管结冰，提高复杂环境可靠性；</w:t>
            </w:r>
          </w:p>
          <w:p w14:paraId="29228D0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9、为提高环境适应性，无人机须配备智能电池，可实现低温环境下自动加热、电池电量显示功能；</w:t>
            </w:r>
          </w:p>
          <w:p w14:paraId="17AB141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10、具有前视和下视避障功能；</w:t>
            </w:r>
          </w:p>
          <w:p w14:paraId="68342B2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11、为保障无人机应急处置能力，须具备数据链路信号丢失自动返航、近地自动规避、掉高自动返航和低电压自动返航等功能；</w:t>
            </w:r>
          </w:p>
          <w:p w14:paraId="0E58BDB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12、传输视频分辨率须≥1080P@30fps；</w:t>
            </w:r>
          </w:p>
          <w:p w14:paraId="35A81EF4">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13、控制距离≥50km；</w:t>
            </w:r>
          </w:p>
          <w:p w14:paraId="152BC96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14、地面站软件须具有仿地飞行功能；</w:t>
            </w:r>
          </w:p>
          <w:p w14:paraId="0423BEE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▲15、为保障整体具有较高匹配度，地面指控站和飞行平台须是同一厂家自主知识产权产品，且具有自主知识产权；</w:t>
            </w:r>
          </w:p>
          <w:p w14:paraId="36F1079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16、地面站软件须具有固件在线更新功能，可通过云服务进行固件匹配及推送，完成在线下载、在线更新等功能；</w:t>
            </w:r>
          </w:p>
          <w:p w14:paraId="632D88EC">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17、无人机在空中飞行时，地面端可对下传的视频进行关键帧提取，并实时快拼，将快拼成果实时叠加在地面站软件地图上显示；</w:t>
            </w:r>
          </w:p>
          <w:p w14:paraId="7FC582AE">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▲18、导航定位类产品，其技术规格应满足相关行业管理部门对定位系统自主可控的技术要求；</w:t>
            </w:r>
          </w:p>
          <w:p w14:paraId="1CE8F4C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 w:val="21"/>
                <w:szCs w:val="21"/>
                <w:highlight w:val="none"/>
                <w:lang w:val="en-US" w:eastAsia="zh-CN"/>
              </w:rPr>
              <w:t>19、配套：无人机*1，遥控器*1、电池不低于3块及其他附件、无人机保险*1、无人机第三者责任险保额100万（单次赔付100万，人伤物伤）*1。</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14:paraId="65F5D316">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20D17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0"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0DA8">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8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23CDC">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多旋翼巡检无人机（一）</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2DA2561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1、飞行器裸机重量≤7 千克（不带电池）；</w:t>
            </w:r>
          </w:p>
          <w:p w14:paraId="624F8197">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2、飞行器最大起飞重量≥15千克；</w:t>
            </w:r>
          </w:p>
          <w:p w14:paraId="37EFCAEE">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3、最大飞行速度≥25m/s；</w:t>
            </w:r>
          </w:p>
          <w:p w14:paraId="50647E0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4、最长飞行时间≥55分钟；</w:t>
            </w:r>
          </w:p>
          <w:p w14:paraId="0D960B3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5、最大可抗风速≥12m/s；</w:t>
            </w:r>
          </w:p>
          <w:p w14:paraId="503D3D1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▲6、定位模式：导航定位类产品，其技术规格应满足相关行业管理部门对定位系统自主可控的技术要求；</w:t>
            </w:r>
          </w:p>
          <w:p w14:paraId="5BB468F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7、网络RTK正常工作时飞行器悬停精度：水平±0.1m；垂直±0.1m；</w:t>
            </w:r>
          </w:p>
          <w:p w14:paraId="44E0658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8、能够接收民航客机的ADS-B广播信息，并能过地面端软件向用户发出附近民航客机预警信息；</w:t>
            </w:r>
          </w:p>
          <w:p w14:paraId="5608251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▲9、无人机应具备六向视觉感知，并融合激光和雷达两类传感器避障，能感知电力线等细小障碍物；</w:t>
            </w:r>
          </w:p>
          <w:p w14:paraId="703AF488">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10、飞行器支持电池低温自加热充电，防护等级:≥IP55；</w:t>
            </w:r>
          </w:p>
          <w:p w14:paraId="6E06C40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11、支持机臂到位检测，如未拧紧能够在遥控器端进行告警提示；</w:t>
            </w:r>
          </w:p>
          <w:p w14:paraId="6A8AE28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12、飞行器支持航点飞行、建图航拍、倾斜摄影、航带飞行多种航线；</w:t>
            </w:r>
          </w:p>
          <w:p w14:paraId="01ECB8A4">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13、飞行器具有健康管理系统，包括查看：保养服务、行业无忧、固件版本、日志管理、异常记录和异常诊断等；</w:t>
            </w:r>
          </w:p>
          <w:p w14:paraId="5F63A82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14、遥控器可连接电池箱查看电池箱状态，包括电池箱以及电池的版本信息、告警信息等；</w:t>
            </w:r>
          </w:p>
          <w:p w14:paraId="74199D6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15、设备工作环境温度：覆盖-20℃至50℃（无太阳辐射）；</w:t>
            </w:r>
          </w:p>
          <w:p w14:paraId="5C8E31E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▲16、搭配支持PSDK接口的多传感器云台相机，集成广角相机、变焦相机、激光测距仪和近红外补光，变焦相机支持34倍光学变焦、4000万像素，激光测距范围3至3000米。</w:t>
            </w:r>
          </w:p>
          <w:p w14:paraId="37D3660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lang w:val="en-US" w:eastAsia="zh-CN"/>
              </w:rPr>
              <w:t>17、配件：无人机*1，遥控器*1、增强图传模块*2、电池1块及其他附件、电池箱*1、无人机第三者责任险保额100万(单次赔付100万，人伤物伤)*1。</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14:paraId="30E9AADB">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1EC99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7D900321">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834" w:type="dxa"/>
            <w:tcBorders>
              <w:top w:val="single" w:color="000000" w:sz="4" w:space="0"/>
              <w:left w:val="single" w:color="000000" w:sz="4" w:space="0"/>
              <w:bottom w:val="single" w:color="000000" w:sz="4" w:space="0"/>
              <w:right w:val="single" w:color="000000" w:sz="4" w:space="0"/>
            </w:tcBorders>
            <w:noWrap w:val="0"/>
            <w:vAlign w:val="center"/>
          </w:tcPr>
          <w:p w14:paraId="4166B9B3">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多旋翼巡检无人机（二）</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03D8D17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1、最大起飞重量：不低于1.2千克，以确保具备搭载任务载荷和稳定飞行的能力；</w:t>
            </w:r>
          </w:p>
          <w:p w14:paraId="42A0EF2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2、最大飞行海拔高度：不低于5000米，以适应高原或山区环境下的监测任务；</w:t>
            </w:r>
          </w:p>
          <w:p w14:paraId="5F0566C7">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3、飞行时间：标准起飞重量下，悬停时间不低于30分钟；</w:t>
            </w:r>
          </w:p>
          <w:p w14:paraId="413C1554">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▲4、避障系统：需配备全向避障系统（前、后、左、右、上、下六个方向），并具备在光照充足条件下对障碍物的有效感知能力；</w:t>
            </w:r>
          </w:p>
          <w:p w14:paraId="1D01D3B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5、.环境适应性：设备工作环境温度应覆盖-10℃至40℃；</w:t>
            </w:r>
          </w:p>
          <w:p w14:paraId="0C812262">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6、传感器：主相机传感器尺寸不低于1英寸CMOS，有效像素不低于5000万；</w:t>
            </w:r>
          </w:p>
          <w:p w14:paraId="5D49D4EF">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7、镜头：镜头光圈范围应至少覆盖f/2.8至f/11，并支持自动对焦；</w:t>
            </w:r>
          </w:p>
          <w:p w14:paraId="66778EBF">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8、视频录制：支持4K/60fps视频录制，码流不低于100Mbps；</w:t>
            </w:r>
          </w:p>
          <w:p w14:paraId="63ED69B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▲9、定位系统：导航定位系统应支持北斗卫星导航系统（BDS），并满足行业管理部门对定位自主可控的相关技术要求；</w:t>
            </w:r>
          </w:p>
          <w:p w14:paraId="7CC3CAC7">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10、定位精度：在北斗系统支持下，于0–10米高度范围内：卫星定位悬停精度垂直≤±0.5米、水平≤±0.5米；视觉定位悬停精度垂直≤±0.1米、水平≤±0.3米；</w:t>
            </w:r>
          </w:p>
          <w:p w14:paraId="7CED90BF">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11、数据安全：控制信号与图传信号应具备加密措施，防止数据被非法截获或干扰；</w:t>
            </w:r>
          </w:p>
          <w:p w14:paraId="7F010BB2">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12、数据合规：空间地理数据坐标系应符合CGCS2000国家大地坐标系或国家现行测绘标准；</w:t>
            </w:r>
          </w:p>
          <w:p w14:paraId="0F077F6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13、防护等级：具备基础防雨能力，能在小雨环境下短时作业；</w:t>
            </w:r>
          </w:p>
          <w:p w14:paraId="49686BA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lang w:val="en-US" w:eastAsia="zh-CN"/>
              </w:rPr>
              <w:t>14、配套：无人机*1、遥控器*1、电池箱不低于1个、电池不低于4块及其他附件，无人机保险*1、无人机第三者责任险保额100万（单次赔付100万，人伤物伤）*1。</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14:paraId="626373F0">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14943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6CB2DEC8">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4" w:type="dxa"/>
            <w:tcBorders>
              <w:top w:val="single" w:color="000000" w:sz="4" w:space="0"/>
              <w:left w:val="single" w:color="000000" w:sz="4" w:space="0"/>
              <w:bottom w:val="single" w:color="000000" w:sz="4" w:space="0"/>
              <w:right w:val="single" w:color="000000" w:sz="4" w:space="0"/>
            </w:tcBorders>
            <w:noWrap w:val="0"/>
            <w:vAlign w:val="center"/>
          </w:tcPr>
          <w:p w14:paraId="1C4A9A7A">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多旋翼巡检无人机（三）</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62028E4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1、设备重量≤2kg；</w:t>
            </w:r>
          </w:p>
          <w:p w14:paraId="3DC3AA5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2、工作环境温度：覆盖-20°C 至 50°C；</w:t>
            </w:r>
          </w:p>
          <w:p w14:paraId="2307AFE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3、最大起飞海拔≥6500 米；</w:t>
            </w:r>
          </w:p>
          <w:p w14:paraId="7C5A8967">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4、最长飞行时间≥45 分钟；</w:t>
            </w:r>
          </w:p>
          <w:p w14:paraId="38B37DFE">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5、最大作业半径≥10公里；</w:t>
            </w:r>
          </w:p>
          <w:p w14:paraId="5FB48A04">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6、广角相机： 1/1.3 英寸 CMOS，有效像素不低于4800 万；</w:t>
            </w:r>
          </w:p>
          <w:p w14:paraId="5EDB826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7、中长焦相机： 1/1.3 英寸 CMOS，有效像素不低于4800万；</w:t>
            </w:r>
          </w:p>
          <w:p w14:paraId="24C1E85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8、长焦相机： 1/1.5 英寸 CMOS，有效像素不低于4800 万；</w:t>
            </w:r>
          </w:p>
          <w:p w14:paraId="1ADCF78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9、具有热成像相机、近红外补光灯、激光测距模块；</w:t>
            </w:r>
          </w:p>
          <w:p w14:paraId="59059CF7">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10、防护等级：整机防护等级不低于IP54；</w:t>
            </w:r>
          </w:p>
          <w:p w14:paraId="709D6D1F">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▲11、定位系统：导航定位类产品，其技术规格应满足相关行业管理部门对定位系统自主可控的技术要求；</w:t>
            </w:r>
          </w:p>
          <w:p w14:paraId="64FCB40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▲12、可见光相机：广角与中长焦相机传感器尺寸不低于1/1.3英寸，长焦相机传感器尺寸不低于1/1.5英寸，三路可见光相机有效像素均不低于4800万；</w:t>
            </w:r>
          </w:p>
          <w:p w14:paraId="0B178E4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13、配备全向双目视觉避障系统（前、后、左、右、上、下）；</w:t>
            </w:r>
          </w:p>
          <w:p w14:paraId="6BD14ACC">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▲14、支持航点、正射、倾斜、仿地等多种自动化航线模式；具备对人、车、船等目标的AI识别能力；</w:t>
            </w:r>
          </w:p>
          <w:p w14:paraId="6DE4D42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lang w:val="en-US" w:eastAsia="zh-CN"/>
              </w:rPr>
              <w:t>15、配置：飞机*1、飞行器电池*4、增强图传模块*2、无人机保险*1、无人机第三者责任险保额100万（单次赔付100万，人伤物伤）*1。</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14:paraId="627E00A9">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259F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5637C3DF">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834" w:type="dxa"/>
            <w:tcBorders>
              <w:top w:val="single" w:color="000000" w:sz="4" w:space="0"/>
              <w:left w:val="single" w:color="000000" w:sz="4" w:space="0"/>
              <w:bottom w:val="single" w:color="000000" w:sz="4" w:space="0"/>
              <w:right w:val="single" w:color="000000" w:sz="4" w:space="0"/>
            </w:tcBorders>
            <w:noWrap w:val="0"/>
            <w:vAlign w:val="center"/>
          </w:tcPr>
          <w:p w14:paraId="2F512E1E">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多旋翼无人机（多光谱）</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48BC7FD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1、起飞重量：不超过1千克；</w:t>
            </w:r>
          </w:p>
          <w:p w14:paraId="76D4894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2、飞行时间：在无风环境下，单次充电飞行时间不低于30分钟；</w:t>
            </w:r>
          </w:p>
          <w:p w14:paraId="5973B48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3、抗风能力：最大抗风能力不低于12米/秒（约6级风）；</w:t>
            </w:r>
          </w:p>
          <w:p w14:paraId="5A50F6F4">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4、工作温度：覆盖-10°C至40°C；</w:t>
            </w:r>
          </w:p>
          <w:p w14:paraId="48E608CE">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5、传感器：不小于4/3英寸CMOS，有效像素2000万；</w:t>
            </w:r>
          </w:p>
          <w:p w14:paraId="5024DCD2">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▲6、光谱波段：除可见光外，必须独立配备绿（G）、红（R）、红边（RE）、近红外（NIR）四个波段的多光谱相机；</w:t>
            </w:r>
          </w:p>
          <w:p w14:paraId="3FD4461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▲7、定位系统：导航定位系统应支持北斗卫星导航系统（BDS），满足行业管理部门对定位自主可控的相关要求；</w:t>
            </w:r>
          </w:p>
          <w:p w14:paraId="2A5C096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▲8、避障系统：需配备全向视觉避障系统（前、后、左、右、下），前视测距范围不低于20米，可探测范围不低于200米，有效避障速度≤15米/秒；</w:t>
            </w:r>
          </w:p>
          <w:p w14:paraId="2BFD1AEE">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9、飞行安全：应具备ADS-B信号接收功能，能够对附近载人航空器进行预警，提升空域安全意识；</w:t>
            </w:r>
          </w:p>
          <w:p w14:paraId="65423A5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10、控制与图传距离：在无干扰、无遮挡环境下，在FCC标准下最大信号有效距离不低于15公里；</w:t>
            </w:r>
          </w:p>
          <w:p w14:paraId="16016BB4">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11、图传性能：图传系统端到端延迟不高于200毫秒，支持1080p/30fps高清实时传输；</w:t>
            </w:r>
          </w:p>
          <w:p w14:paraId="50AD57A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color w:val="auto"/>
                <w:highlight w:val="none"/>
              </w:rPr>
            </w:pPr>
            <w:r>
              <w:rPr>
                <w:rFonts w:hint="eastAsia"/>
                <w:color w:val="auto"/>
                <w:highlight w:val="none"/>
              </w:rPr>
              <w:t>▲12、数据安全：控制信号与图传信号应具备加密措施；</w:t>
            </w:r>
          </w:p>
          <w:p w14:paraId="3E26B2D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eastAsia="zh-CN"/>
              </w:rPr>
            </w:pPr>
            <w:r>
              <w:rPr>
                <w:rFonts w:hint="eastAsia"/>
                <w:color w:val="auto"/>
                <w:highlight w:val="none"/>
              </w:rPr>
              <w:t>13、无人机保险*1、无人机第三者责任险保额100万（单次赔付100万，人伤物伤）*1。</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14:paraId="4384DF86">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color w:val="auto"/>
                <w:highlight w:val="none"/>
              </w:rPr>
              <w:t>提供至少1年的质保</w:t>
            </w:r>
            <w:r>
              <w:rPr>
                <w:rFonts w:hint="eastAsia"/>
                <w:color w:val="auto"/>
                <w:highlight w:val="none"/>
                <w:lang w:eastAsia="zh-CN"/>
              </w:rPr>
              <w:t>。</w:t>
            </w:r>
          </w:p>
        </w:tc>
      </w:tr>
      <w:tr w14:paraId="7065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E51B3">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8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EF33C">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多旋翼无人值守平台</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517196CF">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机场：</w:t>
            </w:r>
          </w:p>
          <w:p w14:paraId="0C9BB3E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1、整机重量≤66kg；</w:t>
            </w:r>
          </w:p>
          <w:p w14:paraId="24C189F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2、舱盖闭合尺寸≤700mmx700mmx850mm；</w:t>
            </w:r>
          </w:p>
          <w:p w14:paraId="75C4EA0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▲3、最大运行海拔≥4500米；</w:t>
            </w:r>
          </w:p>
          <w:p w14:paraId="4415370E">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4、支持固定基座部署与车载移动部署两种模式；支持项目内跨点位双机自动轮替，一架在飞、一架待命；</w:t>
            </w:r>
          </w:p>
          <w:p w14:paraId="768D8208">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▲5、支持开盖即飞，指令下达后无人机即刻起飞；作业轮转时间（降落后完成换电再次起飞）＜50秒；换电时间＜30秒；</w:t>
            </w:r>
          </w:p>
          <w:p w14:paraId="3328EA5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6、单电池充电时间（15%→95%）≤27分钟；</w:t>
            </w:r>
          </w:p>
          <w:p w14:paraId="0D29397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7、支持通过以太网接入（连接地面站），4G 需增强图传模块；</w:t>
            </w:r>
          </w:p>
          <w:p w14:paraId="074CB472">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8、舱盖可直播相机分辨率：1920*1080；</w:t>
            </w:r>
          </w:p>
          <w:p w14:paraId="190F5E4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9、配置：机场*1及配件；</w:t>
            </w:r>
          </w:p>
          <w:p w14:paraId="26618C1C">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无人机：</w:t>
            </w:r>
          </w:p>
          <w:p w14:paraId="34BB50FC">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1、设备重量≤3kg；</w:t>
            </w:r>
          </w:p>
          <w:p w14:paraId="187A1A1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2、最大起飞重量≤3.5kg；</w:t>
            </w:r>
          </w:p>
          <w:p w14:paraId="6C69B75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▲3、最大起飞海拔≥6000 米；</w:t>
            </w:r>
          </w:p>
          <w:p w14:paraId="48354118">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4、最长飞行时间≥50分钟；</w:t>
            </w:r>
          </w:p>
          <w:p w14:paraId="1B9B736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5、最大作业半径≥10公里；</w:t>
            </w:r>
          </w:p>
          <w:p w14:paraId="6375E4A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6、广角相机：广角为1/0.98英寸CMOS，有效像素5000万；</w:t>
            </w:r>
          </w:p>
          <w:p w14:paraId="5395DFD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7、中长焦相机：中长焦≥4500万像素，传感器尺寸不低于1/1.3英寸；</w:t>
            </w:r>
          </w:p>
          <w:p w14:paraId="0BB628D2">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8、长焦相机： 1/1.5 英寸 CMOS，有效像素不低于4500 万；</w:t>
            </w:r>
          </w:p>
          <w:p w14:paraId="2F14F4E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▲9、具备长焦、红外、激光测距、全彩夜视能力；</w:t>
            </w:r>
          </w:p>
          <w:p w14:paraId="59F42D9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▲10、定位系统：设备应支持单北斗独立定位模式，并符合国家现行北斗导航定位终端相关标准要求；</w:t>
            </w:r>
          </w:p>
          <w:p w14:paraId="17F2399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11、单套配置：飞机*1、飞行器电池*4、增强图传模块*2、无人机保险*1、无人机第三者责任险保额100万（单次赔付100万，人伤物伤）*1；</w:t>
            </w:r>
          </w:p>
          <w:p w14:paraId="31F3A842">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部署：</w:t>
            </w:r>
          </w:p>
          <w:p w14:paraId="6976F73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1、支持标准地图/卫星地图切换加载；</w:t>
            </w:r>
          </w:p>
          <w:p w14:paraId="143D2B9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2、支持在图上对项目作业中心点进行设置；</w:t>
            </w:r>
          </w:p>
          <w:p w14:paraId="7E64ED5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3、支持添加组织成员、组织设备进入项目；</w:t>
            </w:r>
          </w:p>
          <w:p w14:paraId="22CC8F3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4、管理员可在网页端设备管理页面查看和管理设备；</w:t>
            </w:r>
          </w:p>
          <w:p w14:paraId="703B661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5、支持在本地私有化环境中完成可见光/红外影像的二维及三维建模；</w:t>
            </w:r>
          </w:p>
          <w:p w14:paraId="5596431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▲6、组织管理、人员管理、设备管理、设备管理；</w:t>
            </w:r>
          </w:p>
          <w:p w14:paraId="00CD903C">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7、为保证产品来源正规和售后服务，须提供生产厂家针对本项目的授权函；</w:t>
            </w:r>
          </w:p>
          <w:p w14:paraId="48C2602E">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▲8、支持机载AI实时在线智能识别，机载AI可检测至少15类目标；</w:t>
            </w:r>
          </w:p>
          <w:p w14:paraId="5D971BA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9、可以通过虚拟座舱实现远程AI识别；</w:t>
            </w:r>
          </w:p>
          <w:p w14:paraId="179DF94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10、为保证产品来源正规和售后服务，须提供生产厂家针对本项目的售后服务承诺函；</w:t>
            </w:r>
          </w:p>
          <w:p w14:paraId="254F3FC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11、支持物理机、私有云、公有云部署；</w:t>
            </w:r>
          </w:p>
          <w:p w14:paraId="15D9C24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12、单套配置：私有版软件许可*1；</w:t>
            </w:r>
          </w:p>
          <w:p w14:paraId="4A123DB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0"/>
                <w:sz w:val="21"/>
                <w:szCs w:val="21"/>
                <w:highlight w:val="none"/>
                <w:lang w:val="en-US" w:eastAsia="zh-CN"/>
              </w:rPr>
              <w:t>13、采购的软硬件产品须符合国家信息安全及国产化相关技术标准与规范，并能够适配通过安全可靠测评的操作系统。</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17FCF292">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2365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0C77CA15">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2</w:t>
            </w:r>
          </w:p>
        </w:tc>
        <w:tc>
          <w:tcPr>
            <w:tcW w:w="8014" w:type="dxa"/>
            <w:gridSpan w:val="2"/>
            <w:tcBorders>
              <w:top w:val="single" w:color="000000" w:sz="4" w:space="0"/>
              <w:left w:val="single" w:color="000000" w:sz="4" w:space="0"/>
              <w:bottom w:val="single" w:color="000000" w:sz="4" w:space="0"/>
              <w:right w:val="single" w:color="000000" w:sz="4" w:space="0"/>
            </w:tcBorders>
            <w:noWrap/>
            <w:vAlign w:val="center"/>
          </w:tcPr>
          <w:p w14:paraId="49EAE906">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低空数据采集载荷</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594ED6CC">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4F3A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72FEE846">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834" w:type="dxa"/>
            <w:tcBorders>
              <w:top w:val="single" w:color="000000" w:sz="4" w:space="0"/>
              <w:left w:val="single" w:color="000000" w:sz="4" w:space="0"/>
              <w:bottom w:val="single" w:color="000000" w:sz="4" w:space="0"/>
              <w:right w:val="single" w:color="000000" w:sz="4" w:space="0"/>
            </w:tcBorders>
            <w:noWrap w:val="0"/>
            <w:vAlign w:val="center"/>
          </w:tcPr>
          <w:p w14:paraId="1D2348AF">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热成像相机</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0FF4531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1、尺寸≤200×200×200 mm；</w:t>
            </w:r>
          </w:p>
          <w:p w14:paraId="157F3C2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2、重量≤1kg；</w:t>
            </w:r>
          </w:p>
          <w:p w14:paraId="1D58943B">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3、最大可承受空速：20 m/s；</w:t>
            </w:r>
          </w:p>
          <w:p w14:paraId="1D0CA976">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4、稳定系统：3轴(俯仰，横滚，平移)；</w:t>
            </w:r>
          </w:p>
          <w:p w14:paraId="53535FB6">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5、角度抖动量：悬停：±0.002°；飞行：±0.004°</w:t>
            </w:r>
          </w:p>
          <w:p w14:paraId="18B8410E">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▲6、影像传感器≥有效像素4000万，支持PSDK接口；</w:t>
            </w:r>
          </w:p>
          <w:p w14:paraId="0B91794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▲7、热成像传感器：非制冷氧化钒；</w:t>
            </w:r>
          </w:p>
          <w:p w14:paraId="3172D58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8、镜头焦距≤24 mm；</w:t>
            </w:r>
          </w:p>
          <w:p w14:paraId="4710625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9、光圈：f/0.95；DFOV:45.2°；</w:t>
            </w:r>
          </w:p>
          <w:p w14:paraId="1275C72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10、数字变焦等效倍数≥32×；</w:t>
            </w:r>
          </w:p>
          <w:p w14:paraId="78900FD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11.测量范围：3～3000m；</w:t>
            </w:r>
          </w:p>
          <w:p w14:paraId="0BB8D021">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12.最大变焦倍数：400倍。</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14:paraId="2A939590">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4C46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61B13269">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834" w:type="dxa"/>
            <w:tcBorders>
              <w:top w:val="single" w:color="000000" w:sz="4" w:space="0"/>
              <w:left w:val="single" w:color="000000" w:sz="4" w:space="0"/>
              <w:bottom w:val="single" w:color="000000" w:sz="4" w:space="0"/>
              <w:right w:val="single" w:color="000000" w:sz="4" w:space="0"/>
            </w:tcBorders>
            <w:noWrap w:val="0"/>
            <w:vAlign w:val="center"/>
          </w:tcPr>
          <w:p w14:paraId="0BBE29EF">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激光雷达</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69CDD759">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▲1、支持PSDK接口；</w:t>
            </w:r>
          </w:p>
          <w:p w14:paraId="6F383C7D">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2、尺寸：≤210×210×210 mm，重量：≤2kg；</w:t>
            </w:r>
          </w:p>
          <w:p w14:paraId="11BA6FA3">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3、工作温度：-20℃ 至 50℃；</w:t>
            </w:r>
          </w:p>
          <w:p w14:paraId="7509053D">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4、激光发散角：0.25 mrad (1/e²)；</w:t>
            </w:r>
          </w:p>
          <w:p w14:paraId="44ACDB11">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5、增稳云台：具备三轴增稳云台；</w:t>
            </w:r>
          </w:p>
          <w:p w14:paraId="7C5574B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▲6、测程：700 米@10% 反射率，350 kHz；950 米@10% 反射率，100 kHz；2000 米@80% 反射率，100 kHz；</w:t>
            </w:r>
          </w:p>
          <w:p w14:paraId="3C64740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▲7、测距精度：绝对精度：10mm@150m；重复精度：5mm@150m；</w:t>
            </w:r>
          </w:p>
          <w:p w14:paraId="10CA1251">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8、系统精度：高程3cm/水平4cm（120m正射）：高程5cm/水平7.5cm（300m正射）；</w:t>
            </w:r>
          </w:p>
          <w:p w14:paraId="77035276">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9、惯导：航向精度：0.02°（1σ）俯仰/横滚精度：0.01°（1σ）；</w:t>
            </w:r>
          </w:p>
          <w:p w14:paraId="007192CB">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10、可见光模组：2个M43画幅1亿像素；</w:t>
            </w:r>
          </w:p>
          <w:p w14:paraId="4FD3FF33">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11、稳定系统：3 轴（俯仰，横滚，平移）；</w:t>
            </w:r>
          </w:p>
          <w:p w14:paraId="7FFCE75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12、可调点频：最高16回波；</w:t>
            </w:r>
          </w:p>
          <w:p w14:paraId="43F47B5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13、配置要求：机载激光雷达*1套；后处理软件*1套；机载激光雷达保险*1份。</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14:paraId="34B22F3A">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B05E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088E9DE0">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834" w:type="dxa"/>
            <w:tcBorders>
              <w:top w:val="single" w:color="000000" w:sz="4" w:space="0"/>
              <w:left w:val="single" w:color="000000" w:sz="4" w:space="0"/>
              <w:bottom w:val="single" w:color="000000" w:sz="4" w:space="0"/>
              <w:right w:val="single" w:color="000000" w:sz="4" w:space="0"/>
            </w:tcBorders>
            <w:noWrap/>
            <w:vAlign w:val="center"/>
          </w:tcPr>
          <w:p w14:paraId="57F067D4">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光电吊舱</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469CDD2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1、采用高清可见光，长波非制冷红外双光成像； </w:t>
            </w:r>
          </w:p>
          <w:p w14:paraId="3CFA22E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2、具有高精度视轴稳定功能； </w:t>
            </w:r>
          </w:p>
          <w:p w14:paraId="7641A44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3、具有探测、识别地面目标的能力； </w:t>
            </w:r>
          </w:p>
          <w:p w14:paraId="6421F03A">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4、具有搜索、跟踪、锁定、引导等工作模式； </w:t>
            </w:r>
          </w:p>
          <w:p w14:paraId="322E0D79">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5、具有字符叠加自定义及显示功能； </w:t>
            </w:r>
          </w:p>
          <w:p w14:paraId="4385F54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6、具有目标定位功能； </w:t>
            </w:r>
          </w:p>
          <w:p w14:paraId="65A3C4C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7、具有自检和故障诊断功能。 </w:t>
            </w:r>
          </w:p>
          <w:p w14:paraId="31E64606">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▲8、可见光变倍摄像机 </w:t>
            </w:r>
          </w:p>
          <w:p w14:paraId="62C74931">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a) 工作波段：0.4μm～0.9μm； </w:t>
            </w:r>
          </w:p>
          <w:p w14:paraId="48C3D3E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b) 探测器像元数：1920×1080； </w:t>
            </w:r>
          </w:p>
          <w:p w14:paraId="73C5619B">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c) 焦距：4.3mm～129mm，光学 30 倍连续变焦； </w:t>
            </w:r>
          </w:p>
          <w:p w14:paraId="41454D9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d) 连续变焦水平视场：63.7º～2.3º；</w:t>
            </w:r>
          </w:p>
          <w:p w14:paraId="5917278E">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9、热红外</w:t>
            </w:r>
          </w:p>
          <w:p w14:paraId="3DDA682D">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a).工作波段：8μm～14μm； </w:t>
            </w:r>
          </w:p>
          <w:p w14:paraId="47C7FE7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b).探测器像元数：640×512； </w:t>
            </w:r>
          </w:p>
          <w:p w14:paraId="1146E48B">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c).像元尺寸：12um； </w:t>
            </w:r>
          </w:p>
          <w:p w14:paraId="248A431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d). NETD：50mk；e) 焦距：35mm； </w:t>
            </w:r>
          </w:p>
          <w:p w14:paraId="06E2A7E3">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f).视场范围：12.4°×10° </w:t>
            </w:r>
          </w:p>
          <w:p w14:paraId="128AB17E">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g).具有测温功能模组测温范围为：-20°C-150°C。</w:t>
            </w:r>
          </w:p>
          <w:p w14:paraId="3645C56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▲10、适配复合翼无人机。</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096C698F">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0D75C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3ED47136">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4" w:type="dxa"/>
            <w:tcBorders>
              <w:top w:val="single" w:color="000000" w:sz="4" w:space="0"/>
              <w:left w:val="single" w:color="000000" w:sz="4" w:space="0"/>
              <w:bottom w:val="single" w:color="000000" w:sz="4" w:space="0"/>
              <w:right w:val="single" w:color="000000" w:sz="4" w:space="0"/>
            </w:tcBorders>
            <w:noWrap/>
            <w:vAlign w:val="center"/>
          </w:tcPr>
          <w:p w14:paraId="07E3C99D">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高光谱采集仪</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18BC26D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1、光谱范围：400-1000nm；</w:t>
            </w:r>
          </w:p>
          <w:p w14:paraId="523FA94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2、单幅图像分辨率≥1024*1003；</w:t>
            </w:r>
          </w:p>
          <w:p w14:paraId="39FAD5F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▲3、光谱分辨率（FWHM）：≤5nm，支持PSDK标准接口；     </w:t>
            </w:r>
          </w:p>
          <w:p w14:paraId="3309C488">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4、光谱采样分辨率：≤1.4nm；        </w:t>
            </w:r>
          </w:p>
          <w:p w14:paraId="057A8CF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▲5、光谱通道数：≥448(1X)；≥224(2X)；</w:t>
            </w:r>
          </w:p>
          <w:p w14:paraId="434F987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6、空间通道数：≥1024(提供数据截图展示及说明）；  </w:t>
            </w:r>
          </w:p>
          <w:p w14:paraId="7250658A">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7、成像方式：透射式光栅，无人机悬停内置推扫式成像；</w:t>
            </w:r>
          </w:p>
          <w:p w14:paraId="574CF53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8、数值孔径≤F/1.7 ；     </w:t>
            </w:r>
          </w:p>
          <w:p w14:paraId="6B79ABF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9、单幅成像时间≤5s/cube；</w:t>
            </w:r>
          </w:p>
          <w:p w14:paraId="4378482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10、总重量：≤2kg(包括云台、相机、镜头和存储)；</w:t>
            </w:r>
          </w:p>
          <w:p w14:paraId="1F78626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11、8G内存，256G SSD；</w:t>
            </w:r>
          </w:p>
          <w:p w14:paraId="29039141">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12、功率≤45W；</w:t>
            </w:r>
          </w:p>
          <w:p w14:paraId="5C85C4DA">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13、相机输出≥12bit；</w:t>
            </w:r>
          </w:p>
          <w:p w14:paraId="50B009C2">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14、横向视角FOV ≥23°@25mm镜头；</w:t>
            </w:r>
          </w:p>
          <w:p w14:paraId="120BD39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15、航点规划软件：提供自研航点规划软件，手动输入起始及终点的经纬度坐标、飞行高度、航点重叠度、航线重叠度、悬停时间（秒），可自动计算出扫描视场宽度、空间分辨率、航点间距、航线间距、航点数，同时自动生成无人机各个悬停点的经纬度坐标和航点动作的KMZ文件，直接导入无人机控制系统，完成航点设定；</w:t>
            </w:r>
          </w:p>
          <w:p w14:paraId="1934529F">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16、单个航点的机载高光谱图像数据进行镜头校正、反射率校正、大气校正，均能批处理；</w:t>
            </w:r>
          </w:p>
          <w:p w14:paraId="3B521B48">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17、数据拼接处理软件：具有辅助取景窗口，具有自动曝光、自动速度匹配功能，具有数据快速预览功能，具有黑白校正、区域校正、镜头校准等功能；</w:t>
            </w:r>
          </w:p>
          <w:p w14:paraId="1B8CE94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18、数据采集预处理软件：异常高度影像的自动删除；支持多种拼接方法和投影算法选择拼接；拼接后数据具有匀色功能；能选择任意三波段进行快速的拼接，以方便即时观看效果； 支持选取任意波段拼接；支持选择不同的重采样方式；支持亮度选择拼接；支持反射校正后浮点数据拼接；支持亮度转反射率拼接；支持输出格式选择；自动输出处理报告；</w:t>
            </w:r>
          </w:p>
          <w:p w14:paraId="0EC69DB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19、高光谱图像分析软件功能：提供不少于9种单波段灰度图的分析功能；光谱角匹配，可设置光谱角度，截取指定波段数据。</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2464055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0C52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5"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65C41AC5">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834" w:type="dxa"/>
            <w:tcBorders>
              <w:top w:val="single" w:color="000000" w:sz="4" w:space="0"/>
              <w:left w:val="single" w:color="000000" w:sz="4" w:space="0"/>
              <w:bottom w:val="single" w:color="000000" w:sz="4" w:space="0"/>
              <w:right w:val="single" w:color="000000" w:sz="4" w:space="0"/>
            </w:tcBorders>
            <w:noWrap/>
            <w:vAlign w:val="center"/>
          </w:tcPr>
          <w:p w14:paraId="76C2FB16">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单镜头相机（一）</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56AF96A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▲1、有效像素：≥1.0亿像素（总像素≥100MP）；</w:t>
            </w:r>
          </w:p>
          <w:p w14:paraId="382D16DE">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2、产品重量≤500g；</w:t>
            </w:r>
          </w:p>
          <w:p w14:paraId="7CE3D8C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3、传感器类型：CMOS传感器；</w:t>
            </w:r>
          </w:p>
          <w:p w14:paraId="7725722B">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4、存储容量≥256GB；</w:t>
            </w:r>
          </w:p>
          <w:p w14:paraId="6951B47D">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5、机械全局快门，快门寿命不低于50万次，50万次后快门时间误差≤5%；</w:t>
            </w:r>
          </w:p>
          <w:p w14:paraId="3C8630B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6、镜头焦距50mm；</w:t>
            </w:r>
          </w:p>
          <w:p w14:paraId="674EB6EA">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7、最近合焦距离25m；</w:t>
            </w:r>
          </w:p>
          <w:p w14:paraId="3A313D1D">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8、曝光反馈：具备曝光反馈功能，精度≤20μs；</w:t>
            </w:r>
          </w:p>
          <w:p w14:paraId="3E577FC3">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9、图传分辨率：支持4K与1080P切换；</w:t>
            </w:r>
          </w:p>
          <w:p w14:paraId="33FB6F13">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10、触发方式包含串口、蓝牙、网口等；</w:t>
            </w:r>
          </w:p>
          <w:p w14:paraId="1664F4B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11、控制调参方式遥控器/串口/蓝牙/网口/USB；</w:t>
            </w:r>
          </w:p>
          <w:p w14:paraId="146F191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12、工作温度-30℃-65℃；</w:t>
            </w:r>
          </w:p>
          <w:p w14:paraId="40A63E3A">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13、快门组件在低温高湿环境下应具备防凝露/防结冰能力，确保-20℃条件下快门正常动作；</w:t>
            </w:r>
          </w:p>
          <w:p w14:paraId="5DD9C4CB">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▲14、适配多旋翼无人机，支持PSDK接口。</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6704419D">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4D462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050BE1FD">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834" w:type="dxa"/>
            <w:tcBorders>
              <w:top w:val="single" w:color="000000" w:sz="4" w:space="0"/>
              <w:left w:val="single" w:color="000000" w:sz="4" w:space="0"/>
              <w:bottom w:val="single" w:color="000000" w:sz="4" w:space="0"/>
              <w:right w:val="single" w:color="000000" w:sz="4" w:space="0"/>
            </w:tcBorders>
            <w:noWrap/>
            <w:vAlign w:val="center"/>
          </w:tcPr>
          <w:p w14:paraId="239527CE">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单镜头相机（二）</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0BF7F38F">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▲1、总像素≥1亿；</w:t>
            </w:r>
          </w:p>
          <w:p w14:paraId="26FA46D3">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2、产品重量≤1kg；</w:t>
            </w:r>
          </w:p>
          <w:p w14:paraId="2BBE167E">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3、外形尺寸≤200mm×200mm×200mm；</w:t>
            </w:r>
          </w:p>
          <w:p w14:paraId="2AE48471">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4、存储容量≥256GB；</w:t>
            </w:r>
          </w:p>
          <w:p w14:paraId="5FFD39D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5、影像分辨率：≥11648×8736，或总像素≥1.0亿、长宽比4:3的等效分辨率；</w:t>
            </w:r>
          </w:p>
          <w:p w14:paraId="2F9088EA">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6、镜头焦距50mm；</w:t>
            </w:r>
          </w:p>
          <w:p w14:paraId="34D35648">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7、支持在常用航高（如100—1000m）范围内正常合焦成像；</w:t>
            </w:r>
          </w:p>
          <w:p w14:paraId="2CA68FD1">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8、光圈与感光度：光圈F5.6（或同级固定航测光圈）；ISO范围不低于100—6400；</w:t>
            </w:r>
          </w:p>
          <w:p w14:paraId="70A17D4E">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9、快门速度与拍摄节奏：快门速度范围不低于1/2500s—1s；支持连续拍摄，最小曝光间隔≤0.5s</w:t>
            </w:r>
          </w:p>
          <w:p w14:paraId="6F23A8D2">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10、触发与控制接口：具备串口（RS232/RS422/RS485至少一种），支持通过地面站完成触发、曝光参数设置与数据回传；</w:t>
            </w:r>
          </w:p>
          <w:p w14:paraId="47B25A7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10、控制调参方式遥控器/串口/蓝牙/网口/USB；</w:t>
            </w:r>
          </w:p>
          <w:p w14:paraId="2B2595E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11、工作温度-20℃-50℃；</w:t>
            </w:r>
          </w:p>
          <w:p w14:paraId="4EA7C08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12、工作湿度≤30℃ 90% RH；</w:t>
            </w:r>
          </w:p>
          <w:p w14:paraId="59D8D8CF">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▲13、须适配复合翼无人机。</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0C2A8F76">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33E9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8"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0E69EBE9">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834" w:type="dxa"/>
            <w:tcBorders>
              <w:top w:val="single" w:color="000000" w:sz="4" w:space="0"/>
              <w:left w:val="single" w:color="000000" w:sz="4" w:space="0"/>
              <w:bottom w:val="single" w:color="000000" w:sz="4" w:space="0"/>
              <w:right w:val="single" w:color="000000" w:sz="4" w:space="0"/>
            </w:tcBorders>
            <w:noWrap/>
            <w:vAlign w:val="center"/>
          </w:tcPr>
          <w:p w14:paraId="24150342">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五镜头相机</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7C02182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▲1、总像素≥2亿，支持PSDK接口；</w:t>
            </w:r>
          </w:p>
          <w:p w14:paraId="57575862">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2、产品重量≤1.5kg；</w:t>
            </w:r>
          </w:p>
          <w:p w14:paraId="6ED3E688">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3、外形尺寸≤150mm×150mm×150mm；</w:t>
            </w:r>
          </w:p>
          <w:p w14:paraId="632CA23A">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4、存储容量≥640GB×2；</w:t>
            </w:r>
          </w:p>
          <w:p w14:paraId="241EA388">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5、快门速度：1/100-1/2000s；</w:t>
            </w:r>
          </w:p>
          <w:p w14:paraId="03819F58">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6、镜头焦距：下视40mm,侧视56mm；</w:t>
            </w:r>
          </w:p>
          <w:p w14:paraId="3286A25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7、最近合焦距离25m</w:t>
            </w:r>
          </w:p>
          <w:p w14:paraId="7BF25126">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8、镜头光圈F5.6 ISO 范围100-1600；</w:t>
            </w:r>
          </w:p>
          <w:p w14:paraId="5B98C0DC">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9、最小曝光间隔0.5S/1S；</w:t>
            </w:r>
          </w:p>
          <w:p w14:paraId="5188569D">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10、触发方式包：Skyport/低电平/串口/蓝牙；</w:t>
            </w:r>
          </w:p>
          <w:p w14:paraId="63BCB20F">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11、控制调参方式遥控器/串口/蓝牙；</w:t>
            </w:r>
          </w:p>
          <w:p w14:paraId="0B30982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12、工作温度-25℃-65℃</w:t>
            </w:r>
          </w:p>
          <w:p w14:paraId="3FE41DBF">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13、工作湿度≤40℃ 95% RH</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035C764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58B5E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696" w:type="dxa"/>
            <w:gridSpan w:val="3"/>
            <w:tcBorders>
              <w:top w:val="single" w:color="000000" w:sz="4" w:space="0"/>
              <w:left w:val="single" w:color="000000" w:sz="4" w:space="0"/>
              <w:bottom w:val="single" w:color="000000" w:sz="4" w:space="0"/>
              <w:right w:val="single" w:color="000000" w:sz="4" w:space="0"/>
            </w:tcBorders>
            <w:noWrap/>
            <w:vAlign w:val="center"/>
          </w:tcPr>
          <w:p w14:paraId="44CA1AD3">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第二部分 监测数据处理分析及展示平台建设</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70A1794E">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400E4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6B6989F7">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1</w:t>
            </w:r>
          </w:p>
        </w:tc>
        <w:tc>
          <w:tcPr>
            <w:tcW w:w="8014" w:type="dxa"/>
            <w:gridSpan w:val="2"/>
            <w:tcBorders>
              <w:top w:val="single" w:color="000000" w:sz="4" w:space="0"/>
              <w:left w:val="single" w:color="000000" w:sz="4" w:space="0"/>
              <w:bottom w:val="single" w:color="000000" w:sz="4" w:space="0"/>
              <w:right w:val="single" w:color="000000" w:sz="4" w:space="0"/>
            </w:tcBorders>
            <w:noWrap w:val="0"/>
            <w:vAlign w:val="center"/>
          </w:tcPr>
          <w:p w14:paraId="46E4DEA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监测数据处理分析平台</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21A27763">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p>
        </w:tc>
      </w:tr>
      <w:tr w14:paraId="3998C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318B7FB1">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834" w:type="dxa"/>
            <w:tcBorders>
              <w:top w:val="single" w:color="000000" w:sz="4" w:space="0"/>
              <w:left w:val="single" w:color="000000" w:sz="4" w:space="0"/>
              <w:bottom w:val="single" w:color="000000" w:sz="4" w:space="0"/>
              <w:right w:val="single" w:color="000000" w:sz="4" w:space="0"/>
            </w:tcBorders>
            <w:noWrap/>
            <w:vAlign w:val="center"/>
          </w:tcPr>
          <w:p w14:paraId="768079A1">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遥感影像数据处理分析软件</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1FD0BEB8">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▲1、软件拥有完全自主知识产权，提供软件著作权证书及用户证明；</w:t>
            </w:r>
          </w:p>
          <w:p w14:paraId="6016856D">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2、支持实时正射处理，并可针对森林、草原、湿地等不同应用场景做相应优化；</w:t>
            </w:r>
          </w:p>
          <w:p w14:paraId="1CFCA0D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3、全自动完成二维/三维模型重建，所有参数均内置，无需用户设定；</w:t>
            </w:r>
          </w:p>
          <w:p w14:paraId="1D7E5CC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4、支持同时开启多个任务，多任务排队重建；</w:t>
            </w:r>
          </w:p>
          <w:p w14:paraId="487A320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5、二维正射图多任务叠加：显示可将生成的多个二维模型进行叠加显示，加载效率为秒级；</w:t>
            </w:r>
          </w:p>
          <w:p w14:paraId="673A47D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▲6、同时输出二三维成果：支持一个任务同时输出二维和三维成果；</w:t>
            </w:r>
          </w:p>
          <w:p w14:paraId="1DA8F609">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7、支持激光雷达数据处理，包含轨迹解算、点云与可见光数据精准融合、点云精度优化；</w:t>
            </w:r>
          </w:p>
          <w:p w14:paraId="1FCDD987">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▲8、支持多光谱数据建模：能直接生成多光谱数据的正射影像和数字高程模型，同时支持NDVI、NDRE等植被指数输出；</w:t>
            </w:r>
          </w:p>
          <w:p w14:paraId="0A4CC5DA">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9、相机参数编辑：对于可见光重建项目，支持对导入照片数据的相机参数编辑；</w:t>
            </w:r>
          </w:p>
          <w:p w14:paraId="0F48E45B">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10、精度质量报告：可根据像控点刺点结果，生成详细的质量报告；</w:t>
            </w:r>
          </w:p>
          <w:p w14:paraId="393B206F">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11、二维正射影像支持以像素为单位进行分幅输出；</w:t>
            </w:r>
          </w:p>
          <w:p w14:paraId="7FE5884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12、仿地DSM生成：二维正射支持直接输出用于无人机仿地飞行的DSM文件；</w:t>
            </w:r>
          </w:p>
          <w:p w14:paraId="12E52A41">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w:t>
            </w:r>
            <w:r>
              <w:rPr>
                <w:rFonts w:hint="eastAsia" w:ascii="宋体" w:hAnsi="宋体" w:eastAsia="宋体" w:cs="宋体"/>
                <w:i w:val="0"/>
                <w:iCs w:val="0"/>
                <w:color w:val="auto"/>
                <w:sz w:val="21"/>
                <w:szCs w:val="21"/>
                <w:highlight w:val="none"/>
                <w:u w:val="none"/>
                <w:lang w:val="en-US" w:eastAsia="zh-CN"/>
              </w:rPr>
              <w:t>3</w:t>
            </w:r>
            <w:r>
              <w:rPr>
                <w:rFonts w:hint="eastAsia" w:ascii="宋体" w:hAnsi="宋体" w:eastAsia="宋体" w:cs="宋体"/>
                <w:i w:val="0"/>
                <w:iCs w:val="0"/>
                <w:color w:val="auto"/>
                <w:sz w:val="21"/>
                <w:szCs w:val="21"/>
                <w:highlight w:val="none"/>
                <w:u w:val="none"/>
              </w:rPr>
              <w:t>、采购的软硬件产品须符合国家信息安全及国产化相关技术标准与规范，并能够适配通过安全可靠测评的操作系统。</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14:paraId="770CEBB6">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rPr>
              <w:t>软件为离线永久版，并提供不少于为期3年的技术支持</w:t>
            </w:r>
          </w:p>
        </w:tc>
      </w:tr>
      <w:tr w14:paraId="1DAFA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4E47430A">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834" w:type="dxa"/>
            <w:tcBorders>
              <w:top w:val="single" w:color="000000" w:sz="4" w:space="0"/>
              <w:left w:val="single" w:color="000000" w:sz="4" w:space="0"/>
              <w:bottom w:val="single" w:color="000000" w:sz="4" w:space="0"/>
              <w:right w:val="single" w:color="000000" w:sz="4" w:space="0"/>
            </w:tcBorders>
            <w:noWrap/>
            <w:vAlign w:val="center"/>
          </w:tcPr>
          <w:p w14:paraId="3B3CB709">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激光雷达数据处理分析软件</w:t>
            </w:r>
          </w:p>
        </w:tc>
        <w:tc>
          <w:tcPr>
            <w:tcW w:w="7180" w:type="dxa"/>
            <w:tcBorders>
              <w:top w:val="single" w:color="000000" w:sz="4" w:space="0"/>
              <w:left w:val="single" w:color="000000" w:sz="4" w:space="0"/>
              <w:bottom w:val="single" w:color="000000" w:sz="4" w:space="0"/>
              <w:right w:val="single" w:color="000000" w:sz="4" w:space="0"/>
            </w:tcBorders>
            <w:noWrap w:val="0"/>
            <w:vAlign w:val="center"/>
          </w:tcPr>
          <w:p w14:paraId="50EDEA0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▲1、软件拥有完全自主知识产权，提供软件著作权证书及用户证明；</w:t>
            </w:r>
          </w:p>
          <w:p w14:paraId="3CA4373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▲2、支持加载liaep、ligeo、limap、p4d、xml、prj格式的空三工程文件；</w:t>
            </w:r>
          </w:p>
          <w:p w14:paraId="746D7ED9">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3、支持加载海量点云数据，数据量不受到电脑内存限制；</w:t>
            </w:r>
          </w:p>
          <w:p w14:paraId="493DD13F">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4、支持鹰眼穹顶布光（EDL）显示，增强地物边缘特征的显示效果；</w:t>
            </w:r>
          </w:p>
          <w:p w14:paraId="3E588F25">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5、支持点云数据的归一化，可基于地面点或DEM将地形置平到高程为0的位置，用于对地表物体的分析；</w:t>
            </w:r>
          </w:p>
          <w:p w14:paraId="411D0519">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6、支持用户自定义深度学习分类，可将完成分类的数据作为样本和验证数据，训练深度学习分类模型，并使用该模型对未分类的点云数据进行分类；</w:t>
            </w:r>
          </w:p>
          <w:p w14:paraId="53E6B610">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7、支持对DEM进行接边处理，支持使用最邻近采样、双线性采样、三次立方卷积逼近，立方B样条逼近，Lanczos窗口正弦内插、平均采样、统计采样的方法消除DEM重叠区域的分层现象；</w:t>
            </w:r>
          </w:p>
          <w:p w14:paraId="3A75EC8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8、支持基于树干检测的单木分割，在实现单木分割的同时，对树干和树冠点云进行分类，减弱低矮灌丛、杂草对单木分割精度的影响，并实现对树干的检测和树高的测量；</w:t>
            </w:r>
          </w:p>
          <w:p w14:paraId="755199BB">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▲9、支持对地基数据进行基于种子点的单木分割，获取单木的位置、树高、胸径、冠幅、南北冠幅、东西冠幅、冠幅面积、冠层体积属性，支持csv和treedb两种成果格式输出；</w:t>
            </w:r>
          </w:p>
          <w:p w14:paraId="4408301B">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10、支持基于已经完成分割的单木点云统计单木属性，可设置高度过滤某高度范围的树木，生成单木属性文件；</w:t>
            </w:r>
          </w:p>
          <w:p w14:paraId="4F4C63CF">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11、支持生成单木报告，报告中可选择添加单木分割产生的各类单木属性及扩展到单木属性表中的属性；</w:t>
            </w:r>
          </w:p>
          <w:p w14:paraId="73946234">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▲12、采购的软硬件产品须符合国家信息安全及国产化相关技术标准与规范，并能够适配通过安全可靠测评的操作系统。</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14:paraId="193074F2">
            <w:pPr>
              <w:keepNext w:val="0"/>
              <w:keepLines w:val="0"/>
              <w:pageBreakBefore w:val="0"/>
              <w:widowControl/>
              <w:suppressLineNumbers w:val="0"/>
              <w:kinsoku/>
              <w:wordWrap/>
              <w:overflowPunct/>
              <w:autoSpaceDE/>
              <w:autoSpaceDN/>
              <w:bidi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软件为离线永久版，并提供不少于为期3年的技术支持</w:t>
            </w:r>
          </w:p>
        </w:tc>
      </w:tr>
    </w:tbl>
    <w:p w14:paraId="54D6BA16">
      <w:pPr>
        <w:rPr>
          <w:rFonts w:hint="eastAsia" w:ascii="Times New Roman" w:hAnsi="Times New Roman" w:eastAsia="宋体" w:cs="Times New Roman"/>
          <w:color w:val="auto"/>
          <w:highlight w:val="none"/>
          <w:lang w:val="en-US" w:eastAsia="zh-CN"/>
        </w:rPr>
      </w:pPr>
    </w:p>
    <w:p w14:paraId="101C95C3">
      <w:pPr>
        <w:rPr>
          <w:rFonts w:hint="default" w:eastAsia="宋体"/>
          <w:b/>
          <w:bCs/>
          <w:color w:val="auto"/>
          <w:highlight w:val="none"/>
          <w:lang w:val="en-US" w:eastAsia="zh-CN"/>
        </w:rPr>
      </w:pPr>
      <w:r>
        <w:rPr>
          <w:rFonts w:hint="eastAsia" w:ascii="宋体" w:hAnsi="宋体" w:eastAsia="宋体" w:cs="宋体"/>
          <w:b/>
          <w:bCs/>
          <w:color w:val="auto"/>
          <w:sz w:val="24"/>
          <w:szCs w:val="24"/>
          <w:highlight w:val="none"/>
          <w:lang w:val="en-US" w:eastAsia="zh-CN"/>
        </w:rPr>
        <w:t>2标段：特别说明：标注</w:t>
      </w:r>
      <w:r>
        <w:rPr>
          <w:rFonts w:hint="eastAsia" w:ascii="宋体" w:hAnsi="宋体" w:eastAsia="宋体" w:cs="宋体"/>
          <w:b/>
          <w:bCs/>
          <w:i w:val="0"/>
          <w:iCs w:val="0"/>
          <w:color w:val="auto"/>
          <w:kern w:val="0"/>
          <w:sz w:val="24"/>
          <w:szCs w:val="24"/>
          <w:highlight w:val="none"/>
          <w:u w:val="none"/>
          <w:lang w:val="en-US" w:eastAsia="zh-CN" w:bidi="ar"/>
        </w:rPr>
        <w:t>▲符号的参数为重要技术参数，共计6项。</w:t>
      </w:r>
    </w:p>
    <w:tbl>
      <w:tblPr>
        <w:tblStyle w:val="5"/>
        <w:tblW w:w="92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2"/>
        <w:gridCol w:w="834"/>
        <w:gridCol w:w="6832"/>
        <w:gridCol w:w="923"/>
      </w:tblGrid>
      <w:tr w14:paraId="342D0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581F5604">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834" w:type="dxa"/>
            <w:tcBorders>
              <w:top w:val="single" w:color="000000" w:sz="4" w:space="0"/>
              <w:left w:val="single" w:color="000000" w:sz="4" w:space="0"/>
              <w:bottom w:val="single" w:color="000000" w:sz="4" w:space="0"/>
              <w:right w:val="single" w:color="000000" w:sz="4" w:space="0"/>
            </w:tcBorders>
            <w:noWrap/>
            <w:vAlign w:val="center"/>
          </w:tcPr>
          <w:p w14:paraId="567D4559">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设备清单</w:t>
            </w:r>
          </w:p>
        </w:tc>
        <w:tc>
          <w:tcPr>
            <w:tcW w:w="6832" w:type="dxa"/>
            <w:tcBorders>
              <w:top w:val="single" w:color="000000" w:sz="4" w:space="0"/>
              <w:left w:val="single" w:color="000000" w:sz="4" w:space="0"/>
              <w:bottom w:val="single" w:color="000000" w:sz="4" w:space="0"/>
              <w:right w:val="single" w:color="000000" w:sz="4" w:space="0"/>
            </w:tcBorders>
            <w:noWrap/>
            <w:vAlign w:val="center"/>
          </w:tcPr>
          <w:p w14:paraId="0413EB74">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设备型号、参数</w:t>
            </w:r>
          </w:p>
        </w:tc>
        <w:tc>
          <w:tcPr>
            <w:tcW w:w="923" w:type="dxa"/>
            <w:tcBorders>
              <w:top w:val="single" w:color="000000" w:sz="4" w:space="0"/>
              <w:left w:val="single" w:color="000000" w:sz="4" w:space="0"/>
              <w:bottom w:val="single" w:color="000000" w:sz="4" w:space="0"/>
              <w:right w:val="single" w:color="000000" w:sz="4" w:space="0"/>
            </w:tcBorders>
            <w:noWrap/>
            <w:vAlign w:val="center"/>
          </w:tcPr>
          <w:p w14:paraId="6847E547">
            <w:pPr>
              <w:keepNext w:val="0"/>
              <w:keepLines w:val="0"/>
              <w:pageBreakBefore w:val="0"/>
              <w:widowControl/>
              <w:suppressLineNumbers w:val="0"/>
              <w:kinsoku/>
              <w:wordWrap/>
              <w:overflowPunct/>
              <w:autoSpaceDE/>
              <w:autoSpaceDN/>
              <w:bidi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备注</w:t>
            </w:r>
          </w:p>
        </w:tc>
      </w:tr>
      <w:tr w14:paraId="3567D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7F0A8163">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834" w:type="dxa"/>
            <w:tcBorders>
              <w:top w:val="single" w:color="000000" w:sz="4" w:space="0"/>
              <w:left w:val="single" w:color="000000" w:sz="4" w:space="0"/>
              <w:bottom w:val="single" w:color="000000" w:sz="4" w:space="0"/>
              <w:right w:val="single" w:color="000000" w:sz="4" w:space="0"/>
            </w:tcBorders>
            <w:noWrap w:val="0"/>
            <w:vAlign w:val="center"/>
          </w:tcPr>
          <w:p w14:paraId="013E0E1E">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实景三维模型重建软件</w:t>
            </w:r>
          </w:p>
        </w:tc>
        <w:tc>
          <w:tcPr>
            <w:tcW w:w="6832" w:type="dxa"/>
            <w:tcBorders>
              <w:top w:val="single" w:color="000000" w:sz="4" w:space="0"/>
              <w:left w:val="single" w:color="000000" w:sz="4" w:space="0"/>
              <w:bottom w:val="single" w:color="000000" w:sz="4" w:space="0"/>
              <w:right w:val="single" w:color="000000" w:sz="4" w:space="0"/>
            </w:tcBorders>
            <w:noWrap w:val="0"/>
            <w:vAlign w:val="center"/>
          </w:tcPr>
          <w:p w14:paraId="4F99AEC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▲1、软件拥有完全自主知识产权，提供软件著作权证书及用户证明；</w:t>
            </w:r>
          </w:p>
          <w:p w14:paraId="63CB5A6C">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2、支持高鲁棒性空三、重建和AI智能处理等服务，无最大像素量每工程限制、无总处理像素量限制；</w:t>
            </w:r>
          </w:p>
          <w:p w14:paraId="6548DA64">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3、支持航空影像、倾斜摄影、近景摄影、视频抽帧、架站式与移动式激光点云等多源遥感数据单独或融合三维模型重建，具备一次性处理影像数量不少于18万张的空三处理能力；</w:t>
            </w:r>
          </w:p>
          <w:p w14:paraId="5016773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4、支持倾斜影像全自动建模，具备导入照片后一键完成空三、匹配、自动建模的功能；</w:t>
            </w:r>
          </w:p>
          <w:p w14:paraId="3C21F77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▲5、导出数据支持OBJ、OSGB等格式，模型数据支持导入不少于5种主流三维GIS应用平台；</w:t>
            </w:r>
          </w:p>
          <w:p w14:paraId="57F0196C">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6、倾斜建模集群软件兼容国产化软硬件；</w:t>
            </w:r>
          </w:p>
          <w:p w14:paraId="5F9971F7">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7、三维重建支持多GPU并行运算，节点引擎支持一机多开多任务并行处理，自定义坐标系统建模，模型精度检查和路径漫游；</w:t>
            </w:r>
          </w:p>
          <w:p w14:paraId="614F503B">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能够自动列表局域网内的所有节点机，并能实时监测各节点机的主机名称、引擎地址、引擎版本、引擎状态、引擎能力、CPU利用率、内存使用率、GPU内存利用率、任务目录、工程缓存目录、缓存目录剩余空间；</w:t>
            </w:r>
          </w:p>
          <w:p w14:paraId="3DD871A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▲9、支持批量启动引擎、设置引擎能力、设置引擎监控目录、设置引擎缓存目录、设置一机多开、暂停和恢复引擎，结束引擎，方便集群环境下节点引擎的便捷管理；</w:t>
            </w:r>
          </w:p>
          <w:p w14:paraId="35E3B5FD">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10、可提供空三点云与激光点云按照权重进行匹配融合建模处理，且提供设置倾斜影像纹理来源或者激光点云纹理来源；</w:t>
            </w:r>
          </w:p>
          <w:p w14:paraId="096743F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11、支持空三分割子区块功能，可提供多种子区块划分方式包括按照影像数量智能分割子区块，支持将分块的结果以不同的颜色进行区分，支持多子区块分布式联合空三；</w:t>
            </w:r>
          </w:p>
          <w:p w14:paraId="6D7051ED">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12、可提供不同场景下的空三数据处理手段，场景数量不少于3个；</w:t>
            </w:r>
          </w:p>
          <w:p w14:paraId="1617A05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13、提供多人协同刺点，支持控制点加锁、解锁操作，提升刺点效率服务，支持智能刺点；</w:t>
            </w:r>
          </w:p>
          <w:p w14:paraId="00F535D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14、提供重建环节参数设置功能，支持二维构网、三维构网MESH构建方式；</w:t>
            </w:r>
          </w:p>
          <w:p w14:paraId="00E44DD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15、支持对瑕疵照片/问题瓦片自动匀色、自动优化功能，能够实时调整模型色彩光照并应用于实景三维模型；</w:t>
            </w:r>
          </w:p>
          <w:p w14:paraId="0A21B6B7">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16、支持基于内容感知（植被与城区）的自适应重建，自动识别提取建筑物和植物轮廓和点位，实现实景三维模型物理单体化切割；碎薄目标（交通标牌、围栏薄片、屋顶标牌）重建增强；自动去除移动车辆模型和拉花纹理；</w:t>
            </w:r>
          </w:p>
          <w:p w14:paraId="1DA6E02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▲17、采购的软硬件产品须符合国家信息安全及国产化相关技术标准与规范，并能够适配通过安全可靠测评的操作系统。</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14:paraId="38A9A615">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b/>
                <w:bCs/>
                <w:i w:val="0"/>
                <w:iCs w:val="0"/>
                <w:color w:val="auto"/>
                <w:sz w:val="21"/>
                <w:szCs w:val="21"/>
                <w:highlight w:val="none"/>
                <w:u w:val="none"/>
              </w:rPr>
            </w:pPr>
            <w:r>
              <w:rPr>
                <w:rFonts w:hint="default" w:ascii="宋体" w:hAnsi="宋体" w:eastAsia="宋体" w:cs="宋体"/>
                <w:i w:val="0"/>
                <w:iCs w:val="0"/>
                <w:color w:val="auto"/>
                <w:sz w:val="21"/>
                <w:szCs w:val="21"/>
                <w:highlight w:val="none"/>
                <w:u w:val="none"/>
                <w:lang w:val="en-US" w:eastAsia="zh-CN"/>
              </w:rPr>
              <w:t>软件为离线永久版，并提供不少于为期3年的技术支持</w:t>
            </w:r>
            <w:r>
              <w:rPr>
                <w:rFonts w:hint="eastAsia" w:ascii="宋体" w:hAnsi="宋体" w:eastAsia="宋体" w:cs="宋体"/>
                <w:i w:val="0"/>
                <w:iCs w:val="0"/>
                <w:color w:val="auto"/>
                <w:sz w:val="21"/>
                <w:szCs w:val="21"/>
                <w:highlight w:val="none"/>
                <w:u w:val="none"/>
                <w:lang w:val="en-US" w:eastAsia="zh-CN"/>
              </w:rPr>
              <w:t>。</w:t>
            </w:r>
          </w:p>
        </w:tc>
      </w:tr>
      <w:tr w14:paraId="768B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EDBA5">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8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18DF0">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数据处理一体机</w:t>
            </w:r>
          </w:p>
        </w:tc>
        <w:tc>
          <w:tcPr>
            <w:tcW w:w="6832" w:type="dxa"/>
            <w:tcBorders>
              <w:top w:val="single" w:color="000000" w:sz="4" w:space="0"/>
              <w:left w:val="single" w:color="000000" w:sz="4" w:space="0"/>
              <w:bottom w:val="single" w:color="000000" w:sz="4" w:space="0"/>
              <w:right w:val="single" w:color="000000" w:sz="4" w:space="0"/>
            </w:tcBorders>
            <w:noWrap w:val="0"/>
            <w:vAlign w:val="center"/>
          </w:tcPr>
          <w:p w14:paraId="2A3AB65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▲1、硬件节点配置如下：</w:t>
            </w:r>
          </w:p>
          <w:p w14:paraId="674F252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（1）处理器：配置≥2颗；</w:t>
            </w:r>
          </w:p>
          <w:p w14:paraId="548245E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（2）内存：DDR4 3200 32G*16；</w:t>
            </w:r>
          </w:p>
          <w:p w14:paraId="1A10DC3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（3）系统盘：2块480G SSD硬盘；</w:t>
            </w:r>
          </w:p>
          <w:p w14:paraId="64D38B14">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（4）数据盘：1块3.84T 2.5 SATA 6G R SSD；</w:t>
            </w:r>
          </w:p>
          <w:p w14:paraId="24453EE6">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（5）阵列卡：1块；</w:t>
            </w:r>
          </w:p>
          <w:p w14:paraId="15ACFF3D">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（6）网络：双口10G SFP+网卡 +多模光模块*2；</w:t>
            </w:r>
          </w:p>
          <w:p w14:paraId="78C59668">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（7）GPU：配备8块GPU卡；</w:t>
            </w:r>
          </w:p>
          <w:p w14:paraId="3B04D7AE">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（8）电源：1600W电源模块*3；</w:t>
            </w:r>
          </w:p>
          <w:p w14:paraId="2D2D8DAF">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（9）操作系统：配备银河麒麟操作系统；</w:t>
            </w:r>
          </w:p>
          <w:p w14:paraId="6AAA3B0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（10）三维重建效能:单套设备24小时不低于3.9万张2400万像素影像的重建能力。</w:t>
            </w:r>
          </w:p>
          <w:p w14:paraId="05ED0A2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▲2、配套数据处理软件：</w:t>
            </w:r>
          </w:p>
          <w:p w14:paraId="50D5B400">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（1）软件为国产化航空遥感影像处理软件,拥有完全自主知识产权；</w:t>
            </w:r>
          </w:p>
          <w:p w14:paraId="3A55282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（2）支持集群式处理，支持航空影像、倾斜摄影、近景摄影、视频抽帧、架站式与移动式激光点云等多源遥感数据单独或融合三维模型重建，具有一次性处理不低于20万张影像的空三处理能力；</w:t>
            </w:r>
          </w:p>
          <w:p w14:paraId="3803DC2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（3）支持倾斜影像全自动建模，导入照片后一键即可完成空三、匹配、自动建模，导出OBJ、OSGB等数据格式，模型数据导入不少于5种主流三维GIS应用平台（包括Cesium开源平台）；</w:t>
            </w:r>
          </w:p>
          <w:p w14:paraId="4896670D">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（4）三维重建支持多GPU并行运算，节点引擎支持一机多开多任务并行处理，无GPS空三处理，自定义坐标系统建模，模型精度检查和路径漫游；</w:t>
            </w:r>
          </w:p>
          <w:p w14:paraId="7FD97295">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（5）提供空三点云与激光点云按照权重进行匹配融合建模处理，且提供设置倾斜影像纹理来源或者激光点云纹理来源；</w:t>
            </w:r>
          </w:p>
          <w:p w14:paraId="2339B862">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（6）支持空三分割子区块功能，可提供多种子区块划分方式包括按照影像数量智能分割子区块，支持将分块的结果以不同的颜色进行区分，支持多子区块分布式联合空三；</w:t>
            </w:r>
          </w:p>
          <w:p w14:paraId="6EC2A92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（7）提供4种不同场景下的空三数据处理手段（城镇、农田、森林、近景）解决空三质量问题，空三优化方面提供“精度优先模式”、“效率优先模式”两种模式选择；</w:t>
            </w:r>
          </w:p>
          <w:p w14:paraId="0E5A68F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（8）可提供多人协同刺点，支持控制点加锁、解锁操作，提升刺点效率服务，支持智能刺点，人工刺2点以后，能够在同一窗口自动预刺点位；</w:t>
            </w:r>
          </w:p>
          <w:p w14:paraId="6CF3A1F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（9）支持高鲁棒性空三、重建和AI智能处理等服务，无最大像素量每工程限制、无总处理像素量限制；</w:t>
            </w:r>
          </w:p>
          <w:p w14:paraId="2A8E428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（10）支持空三分割子区块功能，可提供多种子区块划分方式包括按照影像数量智能分割子区块，支持将分块的结果以不同的颜色进行区分，支持多子区块分布式联合空三；</w:t>
            </w:r>
          </w:p>
          <w:p w14:paraId="746EE64A">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11）支持因照片光照明暗不一致、拍摄角度遮挡、建筑物遮挡导致的色差、光影、花斑、污渍等问题瓦片自动匀色，自动优化地面因纹理选择或匀色逻辑不够而出现大面积光影灰块，实时调整模型色彩光照并应用于实景三维模型；</w:t>
            </w:r>
          </w:p>
          <w:p w14:paraId="2AE38CD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12）支持基于内容感知（植被与城区）的自适应重建，自动识别提取建筑物和植物轮廓和点位，实现实景三维模型物理单体化切割；碎薄目标（交通标牌、围栏薄片、屋顶标牌）重建增强；自动去除移动车辆模型和拉花纹理；</w:t>
            </w:r>
          </w:p>
          <w:p w14:paraId="3BF588B3">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13）软件支持提供“引擎控制面板”功能，能够自动列表局域网内的所有节点机，并能实时监测各节点机的主机名称、引擎地址、引擎版本、引擎状态、引擎能力、CPU利用率、内存使用率、GPU内存利用率、任务目录、工程缓存目录、缓存目录剩余空间。支持批量启动引擎、设置引擎能力、设置引擎监控目录、设置引擎缓存目录、设置一机多开、暂停和恢复引擎，结束引擎，方便集群环境下节点引擎的便捷管理；</w:t>
            </w:r>
          </w:p>
          <w:p w14:paraId="3FF6C3E9">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（14）配套软件需要与硬件设备兼容；</w:t>
            </w:r>
          </w:p>
          <w:p w14:paraId="1E42D741">
            <w:pPr>
              <w:keepNext w:val="0"/>
              <w:keepLines w:val="0"/>
              <w:pageBreakBefore w:val="0"/>
              <w:widowControl w:val="0"/>
              <w:kinsoku/>
              <w:wordWrap/>
              <w:overflowPunct/>
              <w:topLinePunct/>
              <w:autoSpaceDE/>
              <w:autoSpaceDN/>
              <w:bidi w:val="0"/>
              <w:adjustRightInd/>
              <w:snapToGrid/>
              <w:spacing w:line="240" w:lineRule="auto"/>
              <w:ind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（15）包含满足硬件的软件授权。</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14:paraId="6E892824">
            <w:pPr>
              <w:keepNext w:val="0"/>
              <w:keepLines w:val="0"/>
              <w:pageBreakBefore w:val="0"/>
              <w:widowControl/>
              <w:suppressLineNumbers w:val="0"/>
              <w:kinsoku/>
              <w:wordWrap/>
              <w:overflowPunct/>
              <w:autoSpaceDE/>
              <w:autoSpaceDN/>
              <w:bidi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质保：3年。</w:t>
            </w:r>
          </w:p>
        </w:tc>
      </w:tr>
    </w:tbl>
    <w:p w14:paraId="215FF0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pStyle w:val="2"/>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880"/>
        </w:tabs>
        <w:ind w:left="880" w:hanging="596"/>
      </w:pPr>
      <w:rPr>
        <w:rFonts w:hint="default" w:ascii="Times New Roman" w:hAnsi="Times New Roman"/>
        <w:b/>
        <w:i w:val="0"/>
        <w:sz w:val="28"/>
      </w:rPr>
    </w:lvl>
    <w:lvl w:ilvl="2" w:tentative="0">
      <w:start w:val="1"/>
      <w:numFmt w:val="decimal"/>
      <w:pStyle w:val="4"/>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986803"/>
    <w:rsid w:val="5CD1731D"/>
    <w:rsid w:val="75170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adjustRightInd w:val="0"/>
      <w:spacing w:before="120" w:line="360" w:lineRule="auto"/>
      <w:textAlignment w:val="baseline"/>
      <w:outlineLvl w:val="0"/>
    </w:pPr>
    <w:rPr>
      <w:rFonts w:eastAsia="黑体"/>
      <w:b/>
      <w:kern w:val="44"/>
      <w:sz w:val="28"/>
      <w:szCs w:val="20"/>
    </w:rPr>
  </w:style>
  <w:style w:type="paragraph" w:styleId="3">
    <w:name w:val="heading 2"/>
    <w:basedOn w:val="1"/>
    <w:next w:val="1"/>
    <w:qFormat/>
    <w:uiPriority w:val="0"/>
    <w:pPr>
      <w:keepNext/>
      <w:numPr>
        <w:ilvl w:val="1"/>
        <w:numId w:val="1"/>
      </w:numPr>
      <w:adjustRightInd w:val="0"/>
      <w:spacing w:before="120" w:line="360" w:lineRule="auto"/>
      <w:textAlignment w:val="baseline"/>
      <w:outlineLvl w:val="1"/>
    </w:pPr>
    <w:rPr>
      <w:rFonts w:eastAsia="黑体"/>
      <w:b/>
      <w:kern w:val="0"/>
      <w:sz w:val="28"/>
      <w:szCs w:val="20"/>
    </w:rPr>
  </w:style>
  <w:style w:type="paragraph" w:styleId="4">
    <w:name w:val="heading 3"/>
    <w:basedOn w:val="1"/>
    <w:next w:val="1"/>
    <w:qFormat/>
    <w:uiPriority w:val="0"/>
    <w:pPr>
      <w:numPr>
        <w:ilvl w:val="2"/>
        <w:numId w:val="1"/>
      </w:numPr>
      <w:tabs>
        <w:tab w:val="left" w:pos="900"/>
      </w:tabs>
      <w:adjustRightInd w:val="0"/>
      <w:spacing w:before="120" w:line="360" w:lineRule="auto"/>
      <w:textAlignment w:val="baseline"/>
      <w:outlineLvl w:val="2"/>
    </w:pPr>
    <w:rPr>
      <w:rFonts w:eastAsia="黑体"/>
      <w:b/>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510</Words>
  <Characters>760</Characters>
  <Lines>0</Lines>
  <Paragraphs>0</Paragraphs>
  <TotalTime>0</TotalTime>
  <ScaleCrop>false</ScaleCrop>
  <LinksUpToDate>false</LinksUpToDate>
  <CharactersWithSpaces>794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2026-11-04T08:26:00Z</dcterms:created>
  <dc:creator>ZBYW1</dc:creator>
  <cp:lastModifiedBy>佚名</cp:lastModifiedBy>
  <dcterms:modified xsi:type="dcterms:W3CDTF">2026-11-04T08:37:20Z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eyJoZGlkIjoiOTgxZDBiNGQzNjlhZGVjNDEwNDFiMWEyYjkxMjAxODYiLCJ1c2VySWQiOiI1ODQ3MzgwMTIifQ==</vt:lpwstr>
  </property>
  <property fmtid="{D5CDD505-2E9C-101B-9397-08002B2CF9AE}" pid="4" name="ICV">
    <vt:lpwstr>F72B5329B1C149FABA641D658753B76E_12</vt:lpwstr>
  </property>
</Properties>
</file>